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5A42" w14:textId="77777777" w:rsidR="004921B8" w:rsidRPr="0012035F" w:rsidRDefault="004921B8" w:rsidP="009C2AEE">
      <w:pPr>
        <w:pStyle w:val="Normlnweb"/>
        <w:shd w:val="clear" w:color="auto" w:fill="FFFFFF"/>
        <w:spacing w:before="0" w:beforeAutospacing="0" w:after="165" w:afterAutospacing="0"/>
        <w:ind w:right="157"/>
        <w:jc w:val="both"/>
        <w:rPr>
          <w:rFonts w:asciiTheme="minorHAnsi" w:hAnsiTheme="minorHAnsi" w:cstheme="minorHAnsi"/>
          <w:bCs/>
          <w:iCs/>
          <w:sz w:val="21"/>
          <w:szCs w:val="21"/>
        </w:rPr>
      </w:pPr>
      <w:r w:rsidRPr="0012035F">
        <w:rPr>
          <w:rFonts w:asciiTheme="minorHAnsi" w:hAnsiTheme="minorHAnsi" w:cstheme="minorHAnsi"/>
          <w:bCs/>
          <w:color w:val="0070C0"/>
          <w:sz w:val="32"/>
          <w:szCs w:val="32"/>
        </w:rPr>
        <w:t>Tisková zpráva</w:t>
      </w:r>
    </w:p>
    <w:p w14:paraId="15065AD7" w14:textId="2073EAA3" w:rsidR="004921B8" w:rsidRPr="00DA0717" w:rsidRDefault="007F30D0" w:rsidP="009C2AEE">
      <w:pPr>
        <w:spacing w:line="360" w:lineRule="auto"/>
        <w:ind w:right="157"/>
        <w:jc w:val="both"/>
        <w:rPr>
          <w:rFonts w:asciiTheme="minorHAnsi" w:hAnsiTheme="minorHAnsi" w:cstheme="minorHAnsi"/>
          <w:i/>
          <w:sz w:val="21"/>
          <w:szCs w:val="21"/>
        </w:rPr>
      </w:pPr>
      <w:r>
        <w:rPr>
          <w:rFonts w:asciiTheme="minorHAnsi" w:hAnsiTheme="minorHAnsi" w:cstheme="minorHAnsi"/>
          <w:i/>
          <w:sz w:val="21"/>
          <w:szCs w:val="21"/>
        </w:rPr>
        <w:t>2</w:t>
      </w:r>
      <w:r w:rsidR="00EC057E">
        <w:rPr>
          <w:rFonts w:asciiTheme="minorHAnsi" w:hAnsiTheme="minorHAnsi" w:cstheme="minorHAnsi"/>
          <w:i/>
          <w:sz w:val="21"/>
          <w:szCs w:val="21"/>
        </w:rPr>
        <w:t>5</w:t>
      </w:r>
      <w:r w:rsidR="00F52264">
        <w:rPr>
          <w:rFonts w:asciiTheme="minorHAnsi" w:hAnsiTheme="minorHAnsi" w:cstheme="minorHAnsi"/>
          <w:i/>
          <w:sz w:val="21"/>
          <w:szCs w:val="21"/>
        </w:rPr>
        <w:t xml:space="preserve">. </w:t>
      </w:r>
      <w:r w:rsidR="009A216D">
        <w:rPr>
          <w:rFonts w:asciiTheme="minorHAnsi" w:hAnsiTheme="minorHAnsi" w:cstheme="minorHAnsi"/>
          <w:i/>
          <w:sz w:val="21"/>
          <w:szCs w:val="21"/>
        </w:rPr>
        <w:t>září</w:t>
      </w:r>
      <w:r w:rsidR="004921B8" w:rsidRPr="004F7074">
        <w:rPr>
          <w:rFonts w:asciiTheme="minorHAnsi" w:hAnsiTheme="minorHAnsi" w:cstheme="minorHAnsi"/>
          <w:i/>
          <w:sz w:val="21"/>
          <w:szCs w:val="21"/>
        </w:rPr>
        <w:t xml:space="preserve"> 202</w:t>
      </w:r>
      <w:r w:rsidR="00284F94">
        <w:rPr>
          <w:rFonts w:asciiTheme="minorHAnsi" w:hAnsiTheme="minorHAnsi" w:cstheme="minorHAnsi"/>
          <w:i/>
          <w:sz w:val="21"/>
          <w:szCs w:val="21"/>
        </w:rPr>
        <w:t>6</w:t>
      </w:r>
      <w:r w:rsidR="004921B8" w:rsidRPr="004F7074">
        <w:rPr>
          <w:rFonts w:asciiTheme="minorHAnsi" w:hAnsiTheme="minorHAnsi" w:cstheme="minorHAnsi"/>
          <w:i/>
          <w:sz w:val="21"/>
          <w:szCs w:val="21"/>
        </w:rPr>
        <w:t>, Brno</w:t>
      </w:r>
    </w:p>
    <w:p w14:paraId="4CDF4013" w14:textId="1CE18DDB" w:rsidR="00DB585B" w:rsidRDefault="009A216D" w:rsidP="009C2AEE">
      <w:pPr>
        <w:pStyle w:val="Normlnweb"/>
        <w:shd w:val="clear" w:color="auto" w:fill="FFFFFF"/>
        <w:spacing w:before="0" w:beforeAutospacing="0" w:after="165" w:afterAutospacing="0"/>
        <w:ind w:right="157"/>
        <w:rPr>
          <w:rFonts w:asciiTheme="minorHAnsi" w:hAnsiTheme="minorHAnsi" w:cstheme="minorHAnsi"/>
          <w:b/>
          <w:color w:val="0070C0"/>
          <w:sz w:val="28"/>
          <w:szCs w:val="28"/>
        </w:rPr>
      </w:pPr>
      <w:r w:rsidRPr="009A216D">
        <w:rPr>
          <w:rFonts w:asciiTheme="minorHAnsi" w:hAnsiTheme="minorHAnsi" w:cstheme="minorHAnsi"/>
          <w:b/>
          <w:color w:val="0070C0"/>
          <w:sz w:val="28"/>
          <w:szCs w:val="28"/>
        </w:rPr>
        <w:t>Baterie ojetých elektromobilů degradují pomaleji, než se veřejnost často obává. Ukázala to analýza více než 3 000 vozidel z českého, slovenského a polského trhu</w:t>
      </w:r>
    </w:p>
    <w:p w14:paraId="0655EC52" w14:textId="0EA8E109" w:rsidR="00942215" w:rsidRPr="00C22560" w:rsidRDefault="00475FAE" w:rsidP="00F35A9B">
      <w:pPr>
        <w:pStyle w:val="Normlnweb"/>
        <w:shd w:val="clear" w:color="auto" w:fill="FFFFFF"/>
        <w:ind w:right="11"/>
        <w:jc w:val="both"/>
        <w:rPr>
          <w:rFonts w:asciiTheme="minorHAnsi" w:hAnsiTheme="minorHAnsi" w:cstheme="minorHAnsi"/>
          <w:b/>
          <w:bCs/>
          <w:sz w:val="22"/>
          <w:szCs w:val="22"/>
        </w:rPr>
      </w:pPr>
      <w:r w:rsidRPr="00475FAE">
        <w:rPr>
          <w:rFonts w:asciiTheme="minorHAnsi" w:hAnsiTheme="minorHAnsi" w:cstheme="minorHAnsi"/>
          <w:b/>
          <w:bCs/>
          <w:sz w:val="22"/>
          <w:szCs w:val="22"/>
        </w:rPr>
        <w:t xml:space="preserve">Výzkumníci z Centra dopravního výzkumu analyzovali stav trakčních akumulátorů u 3 171 ojetých elektrických vozidel z Česka, Slovenska a Polska. Nejvýznamnějším faktorem ovlivňujícím jejich stav je stáří vozidla, následované počtem ujetých kilometrů. Výsledky zároveň ukazují, že ve většině případů je skutečná degradace baterií nižší, než bývá veřejností očekáváno. Podrobné výsledky přináší odborný </w:t>
      </w:r>
      <w:r w:rsidRPr="00C22560">
        <w:rPr>
          <w:rFonts w:asciiTheme="minorHAnsi" w:hAnsiTheme="minorHAnsi" w:cstheme="minorHAnsi"/>
          <w:b/>
          <w:bCs/>
          <w:sz w:val="22"/>
          <w:szCs w:val="22"/>
        </w:rPr>
        <w:t xml:space="preserve">článek, který vyšel v letním dvojčísle časopisu </w:t>
      </w:r>
      <w:hyperlink r:id="rId8" w:history="1">
        <w:r w:rsidRPr="00C22560">
          <w:rPr>
            <w:rStyle w:val="Hypertextovodkaz"/>
            <w:rFonts w:asciiTheme="minorHAnsi" w:hAnsiTheme="minorHAnsi" w:cstheme="minorHAnsi"/>
            <w:b/>
            <w:bCs/>
            <w:color w:val="auto"/>
            <w:sz w:val="22"/>
            <w:szCs w:val="22"/>
          </w:rPr>
          <w:t>Silniční obzor 7–8/2026</w:t>
        </w:r>
      </w:hyperlink>
      <w:r w:rsidRPr="00C22560">
        <w:rPr>
          <w:rFonts w:asciiTheme="minorHAnsi" w:hAnsiTheme="minorHAnsi" w:cstheme="minorHAnsi"/>
          <w:b/>
          <w:bCs/>
          <w:sz w:val="22"/>
          <w:szCs w:val="22"/>
        </w:rPr>
        <w:t>.</w:t>
      </w:r>
    </w:p>
    <w:p w14:paraId="5D139A6E" w14:textId="77777777" w:rsidR="009A216D" w:rsidRPr="009A216D" w:rsidRDefault="009A216D" w:rsidP="009A216D">
      <w:pPr>
        <w:pStyle w:val="Normlnweb"/>
        <w:shd w:val="clear" w:color="auto" w:fill="FFFFFF"/>
        <w:ind w:right="11"/>
        <w:jc w:val="both"/>
        <w:rPr>
          <w:rFonts w:asciiTheme="minorHAnsi" w:hAnsiTheme="minorHAnsi" w:cstheme="minorHAnsi"/>
          <w:sz w:val="22"/>
          <w:szCs w:val="22"/>
        </w:rPr>
      </w:pPr>
      <w:r w:rsidRPr="009A216D">
        <w:rPr>
          <w:rFonts w:asciiTheme="minorHAnsi" w:hAnsiTheme="minorHAnsi" w:cstheme="minorHAnsi"/>
          <w:sz w:val="22"/>
          <w:szCs w:val="22"/>
        </w:rPr>
        <w:t>Obavy z rychlé degradace baterie patří mezi časté argumenty, které mohou ovlivňovat rozhodování lidí při koupi ojetého elektromobilu. Právě na sekundárním trhu přitom stav trakčního akumulátoru nabývá na významu – baterie představuje jednu z nejdražších částí elektrického vozidla a její technický stav může mít vliv na hodnotu vozu i důvěru kupujících.</w:t>
      </w:r>
    </w:p>
    <w:p w14:paraId="44506095" w14:textId="7621F033" w:rsidR="009A216D" w:rsidRPr="009A216D" w:rsidRDefault="009A216D" w:rsidP="009A216D">
      <w:pPr>
        <w:pStyle w:val="Normlnweb"/>
        <w:shd w:val="clear" w:color="auto" w:fill="FFFFFF"/>
        <w:ind w:right="11"/>
        <w:jc w:val="both"/>
        <w:rPr>
          <w:rFonts w:asciiTheme="minorHAnsi" w:hAnsiTheme="minorHAnsi" w:cstheme="minorHAnsi"/>
          <w:sz w:val="22"/>
          <w:szCs w:val="22"/>
        </w:rPr>
      </w:pPr>
      <w:r w:rsidRPr="009A216D">
        <w:rPr>
          <w:rFonts w:asciiTheme="minorHAnsi" w:hAnsiTheme="minorHAnsi" w:cstheme="minorHAnsi"/>
          <w:sz w:val="22"/>
          <w:szCs w:val="22"/>
        </w:rPr>
        <w:t xml:space="preserve">Výzkumníci z Centra dopravního výzkumu, v. v. i. (CDV) proto společně se společností AURES </w:t>
      </w:r>
      <w:proofErr w:type="spellStart"/>
      <w:r w:rsidRPr="009A216D">
        <w:rPr>
          <w:rFonts w:asciiTheme="minorHAnsi" w:hAnsiTheme="minorHAnsi" w:cstheme="minorHAnsi"/>
          <w:sz w:val="22"/>
          <w:szCs w:val="22"/>
        </w:rPr>
        <w:t>Holdings</w:t>
      </w:r>
      <w:proofErr w:type="spellEnd"/>
      <w:r w:rsidRPr="009A216D">
        <w:rPr>
          <w:rFonts w:asciiTheme="minorHAnsi" w:hAnsiTheme="minorHAnsi" w:cstheme="minorHAnsi"/>
          <w:sz w:val="22"/>
          <w:szCs w:val="22"/>
        </w:rPr>
        <w:t xml:space="preserve"> analyzovali výsledky nezávislé diagnostiky trakčních akumulátorů u 3 171 elektrických vozidel</w:t>
      </w:r>
      <w:r w:rsidR="00577041" w:rsidRPr="00577041">
        <w:t xml:space="preserve"> </w:t>
      </w:r>
      <w:r w:rsidR="00577041" w:rsidRPr="00577041">
        <w:rPr>
          <w:rFonts w:asciiTheme="minorHAnsi" w:hAnsiTheme="minorHAnsi" w:cstheme="minorHAnsi"/>
          <w:sz w:val="22"/>
          <w:szCs w:val="22"/>
        </w:rPr>
        <w:t>s externím dobíjením</w:t>
      </w:r>
      <w:r w:rsidRPr="009A216D">
        <w:rPr>
          <w:rFonts w:asciiTheme="minorHAnsi" w:hAnsiTheme="minorHAnsi" w:cstheme="minorHAnsi"/>
          <w:sz w:val="22"/>
          <w:szCs w:val="22"/>
        </w:rPr>
        <w:t xml:space="preserve">. </w:t>
      </w:r>
      <w:r w:rsidR="00F5269C" w:rsidRPr="00F5269C">
        <w:rPr>
          <w:rFonts w:asciiTheme="minorHAnsi" w:hAnsiTheme="minorHAnsi" w:cstheme="minorHAnsi"/>
          <w:sz w:val="22"/>
          <w:szCs w:val="22"/>
        </w:rPr>
        <w:t>Soubor zahrnoval 2 742 bateriových elektromobilů (BEV) a 429 plug-in hybridních vozidel (PHEV). Data byla získávána od července 2024 do března 2026.</w:t>
      </w:r>
      <w:r w:rsidR="00F5269C">
        <w:rPr>
          <w:rFonts w:asciiTheme="minorHAnsi" w:hAnsiTheme="minorHAnsi" w:cstheme="minorHAnsi"/>
          <w:sz w:val="22"/>
          <w:szCs w:val="22"/>
        </w:rPr>
        <w:t xml:space="preserve"> </w:t>
      </w:r>
      <w:r w:rsidRPr="009A216D">
        <w:rPr>
          <w:rFonts w:asciiTheme="minorHAnsi" w:hAnsiTheme="minorHAnsi" w:cstheme="minorHAnsi"/>
          <w:sz w:val="22"/>
          <w:szCs w:val="22"/>
        </w:rPr>
        <w:t xml:space="preserve">Stav baterie byl hodnocen pomocí ukazatele </w:t>
      </w:r>
      <w:proofErr w:type="spellStart"/>
      <w:r w:rsidRPr="009A216D">
        <w:rPr>
          <w:rFonts w:asciiTheme="minorHAnsi" w:hAnsiTheme="minorHAnsi" w:cstheme="minorHAnsi"/>
          <w:sz w:val="22"/>
          <w:szCs w:val="22"/>
        </w:rPr>
        <w:t>State</w:t>
      </w:r>
      <w:proofErr w:type="spellEnd"/>
      <w:r w:rsidRPr="009A216D">
        <w:rPr>
          <w:rFonts w:asciiTheme="minorHAnsi" w:hAnsiTheme="minorHAnsi" w:cstheme="minorHAnsi"/>
          <w:sz w:val="22"/>
          <w:szCs w:val="22"/>
        </w:rPr>
        <w:t xml:space="preserve"> </w:t>
      </w:r>
      <w:proofErr w:type="spellStart"/>
      <w:r w:rsidRPr="009A216D">
        <w:rPr>
          <w:rFonts w:asciiTheme="minorHAnsi" w:hAnsiTheme="minorHAnsi" w:cstheme="minorHAnsi"/>
          <w:sz w:val="22"/>
          <w:szCs w:val="22"/>
        </w:rPr>
        <w:t>of</w:t>
      </w:r>
      <w:proofErr w:type="spellEnd"/>
      <w:r w:rsidRPr="009A216D">
        <w:rPr>
          <w:rFonts w:asciiTheme="minorHAnsi" w:hAnsiTheme="minorHAnsi" w:cstheme="minorHAnsi"/>
          <w:sz w:val="22"/>
          <w:szCs w:val="22"/>
        </w:rPr>
        <w:t xml:space="preserve"> </w:t>
      </w:r>
      <w:proofErr w:type="spellStart"/>
      <w:r w:rsidRPr="009A216D">
        <w:rPr>
          <w:rFonts w:asciiTheme="minorHAnsi" w:hAnsiTheme="minorHAnsi" w:cstheme="minorHAnsi"/>
          <w:sz w:val="22"/>
          <w:szCs w:val="22"/>
        </w:rPr>
        <w:t>Health</w:t>
      </w:r>
      <w:proofErr w:type="spellEnd"/>
      <w:r w:rsidRPr="009A216D">
        <w:rPr>
          <w:rFonts w:asciiTheme="minorHAnsi" w:hAnsiTheme="minorHAnsi" w:cstheme="minorHAnsi"/>
          <w:sz w:val="22"/>
          <w:szCs w:val="22"/>
        </w:rPr>
        <w:t xml:space="preserve"> (</w:t>
      </w:r>
      <w:proofErr w:type="spellStart"/>
      <w:r w:rsidRPr="009A216D">
        <w:rPr>
          <w:rFonts w:asciiTheme="minorHAnsi" w:hAnsiTheme="minorHAnsi" w:cstheme="minorHAnsi"/>
          <w:sz w:val="22"/>
          <w:szCs w:val="22"/>
        </w:rPr>
        <w:t>SoH</w:t>
      </w:r>
      <w:proofErr w:type="spellEnd"/>
      <w:r w:rsidRPr="009A216D">
        <w:rPr>
          <w:rFonts w:asciiTheme="minorHAnsi" w:hAnsiTheme="minorHAnsi" w:cstheme="minorHAnsi"/>
          <w:sz w:val="22"/>
          <w:szCs w:val="22"/>
        </w:rPr>
        <w:t>), který vyjadřuje, jaké množství energie je možné z akumulátoru aktuálně využít ve srovnání s</w:t>
      </w:r>
      <w:r w:rsidR="00577041">
        <w:rPr>
          <w:rFonts w:asciiTheme="minorHAnsi" w:hAnsiTheme="minorHAnsi" w:cstheme="minorHAnsi"/>
          <w:sz w:val="22"/>
          <w:szCs w:val="22"/>
        </w:rPr>
        <w:t> </w:t>
      </w:r>
      <w:r w:rsidRPr="009A216D">
        <w:rPr>
          <w:rFonts w:asciiTheme="minorHAnsi" w:hAnsiTheme="minorHAnsi" w:cstheme="minorHAnsi"/>
          <w:sz w:val="22"/>
          <w:szCs w:val="22"/>
        </w:rPr>
        <w:t>jeho původním stavem.</w:t>
      </w:r>
    </w:p>
    <w:p w14:paraId="491B9AD8" w14:textId="77777777" w:rsidR="009A216D" w:rsidRPr="009A216D" w:rsidRDefault="009A216D" w:rsidP="009A216D">
      <w:pPr>
        <w:pStyle w:val="Normlnweb"/>
        <w:shd w:val="clear" w:color="auto" w:fill="FFFFFF"/>
        <w:ind w:right="11"/>
        <w:jc w:val="both"/>
        <w:rPr>
          <w:rFonts w:asciiTheme="minorHAnsi" w:hAnsiTheme="minorHAnsi" w:cstheme="minorHAnsi"/>
          <w:bCs/>
          <w:color w:val="0070C0"/>
          <w:sz w:val="28"/>
          <w:szCs w:val="28"/>
        </w:rPr>
      </w:pPr>
      <w:r w:rsidRPr="009A216D">
        <w:rPr>
          <w:rFonts w:asciiTheme="minorHAnsi" w:hAnsiTheme="minorHAnsi" w:cstheme="minorHAnsi"/>
          <w:bCs/>
          <w:color w:val="0070C0"/>
          <w:sz w:val="28"/>
          <w:szCs w:val="28"/>
        </w:rPr>
        <w:t>Větší roli hraje stáří než samotný počet kilometrů</w:t>
      </w:r>
    </w:p>
    <w:p w14:paraId="62024878" w14:textId="0218089A" w:rsidR="0096156A" w:rsidRPr="0096156A" w:rsidRDefault="0096156A" w:rsidP="0096156A">
      <w:pPr>
        <w:pStyle w:val="Normlnweb"/>
        <w:shd w:val="clear" w:color="auto" w:fill="FFFFFF"/>
        <w:ind w:right="11"/>
        <w:jc w:val="both"/>
        <w:rPr>
          <w:rFonts w:asciiTheme="minorHAnsi" w:hAnsiTheme="minorHAnsi" w:cstheme="minorHAnsi"/>
          <w:sz w:val="22"/>
          <w:szCs w:val="22"/>
        </w:rPr>
      </w:pPr>
      <w:r w:rsidRPr="0096156A">
        <w:rPr>
          <w:rFonts w:asciiTheme="minorHAnsi" w:hAnsiTheme="minorHAnsi" w:cstheme="minorHAnsi"/>
          <w:sz w:val="22"/>
          <w:szCs w:val="22"/>
        </w:rPr>
        <w:t xml:space="preserve">Výsledky ukázaly postupný pokles hodnoty </w:t>
      </w:r>
      <w:proofErr w:type="spellStart"/>
      <w:r w:rsidRPr="0096156A">
        <w:rPr>
          <w:rFonts w:asciiTheme="minorHAnsi" w:hAnsiTheme="minorHAnsi" w:cstheme="minorHAnsi"/>
          <w:sz w:val="22"/>
          <w:szCs w:val="22"/>
        </w:rPr>
        <w:t>SoH</w:t>
      </w:r>
      <w:proofErr w:type="spellEnd"/>
      <w:r w:rsidRPr="0096156A">
        <w:rPr>
          <w:rFonts w:asciiTheme="minorHAnsi" w:hAnsiTheme="minorHAnsi" w:cstheme="minorHAnsi"/>
          <w:sz w:val="22"/>
          <w:szCs w:val="22"/>
        </w:rPr>
        <w:t xml:space="preserve"> s rostoucím stářím vozidla. U elektromobilů BEV činil medián </w:t>
      </w:r>
      <w:proofErr w:type="spellStart"/>
      <w:r w:rsidRPr="0096156A">
        <w:rPr>
          <w:rFonts w:asciiTheme="minorHAnsi" w:hAnsiTheme="minorHAnsi" w:cstheme="minorHAnsi"/>
          <w:sz w:val="22"/>
          <w:szCs w:val="22"/>
        </w:rPr>
        <w:t>SoH</w:t>
      </w:r>
      <w:proofErr w:type="spellEnd"/>
      <w:r w:rsidRPr="0096156A">
        <w:rPr>
          <w:rFonts w:asciiTheme="minorHAnsi" w:hAnsiTheme="minorHAnsi" w:cstheme="minorHAnsi"/>
          <w:sz w:val="22"/>
          <w:szCs w:val="22"/>
        </w:rPr>
        <w:t xml:space="preserve"> u vozidel do tří let 96,1 %, zatímco u vozidel starších šesti let 90,0 %. U PHEV byl pokles výraznější – z</w:t>
      </w:r>
      <w:r w:rsidR="00577041">
        <w:rPr>
          <w:rFonts w:asciiTheme="minorHAnsi" w:hAnsiTheme="minorHAnsi" w:cstheme="minorHAnsi"/>
          <w:sz w:val="22"/>
          <w:szCs w:val="22"/>
        </w:rPr>
        <w:t> </w:t>
      </w:r>
      <w:r w:rsidRPr="0096156A">
        <w:rPr>
          <w:rFonts w:asciiTheme="minorHAnsi" w:hAnsiTheme="minorHAnsi" w:cstheme="minorHAnsi"/>
          <w:sz w:val="22"/>
          <w:szCs w:val="22"/>
        </w:rPr>
        <w:t>95,0</w:t>
      </w:r>
      <w:r w:rsidR="00577041">
        <w:rPr>
          <w:rFonts w:asciiTheme="minorHAnsi" w:hAnsiTheme="minorHAnsi" w:cstheme="minorHAnsi"/>
          <w:sz w:val="22"/>
          <w:szCs w:val="22"/>
        </w:rPr>
        <w:t> </w:t>
      </w:r>
      <w:r w:rsidRPr="0096156A">
        <w:rPr>
          <w:rFonts w:asciiTheme="minorHAnsi" w:hAnsiTheme="minorHAnsi" w:cstheme="minorHAnsi"/>
          <w:sz w:val="22"/>
          <w:szCs w:val="22"/>
        </w:rPr>
        <w:t>% u vozidel do tří let na 83,2 % u vozidel starších šesti let.</w:t>
      </w:r>
    </w:p>
    <w:p w14:paraId="66FAB94D" w14:textId="5D4DF8B7" w:rsidR="0096156A" w:rsidRPr="0096156A" w:rsidRDefault="0096156A" w:rsidP="0096156A">
      <w:pPr>
        <w:pStyle w:val="Normlnweb"/>
        <w:shd w:val="clear" w:color="auto" w:fill="FFFFFF"/>
        <w:ind w:right="11"/>
        <w:jc w:val="both"/>
        <w:rPr>
          <w:rFonts w:asciiTheme="minorHAnsi" w:hAnsiTheme="minorHAnsi" w:cstheme="minorHAnsi"/>
          <w:sz w:val="22"/>
          <w:szCs w:val="22"/>
        </w:rPr>
      </w:pPr>
      <w:r w:rsidRPr="00274B62">
        <w:rPr>
          <w:rFonts w:asciiTheme="minorHAnsi" w:hAnsiTheme="minorHAnsi" w:cstheme="minorHAnsi"/>
          <w:sz w:val="22"/>
          <w:szCs w:val="22"/>
        </w:rPr>
        <w:t>„</w:t>
      </w:r>
      <w:r w:rsidRPr="00274B62">
        <w:rPr>
          <w:rFonts w:asciiTheme="minorHAnsi" w:hAnsiTheme="minorHAnsi" w:cstheme="minorHAnsi"/>
          <w:i/>
          <w:iCs/>
          <w:sz w:val="22"/>
          <w:szCs w:val="22"/>
        </w:rPr>
        <w:t>Z výsledků je patrné, že stáří vozidla hraje při hodnocení stavu trakčního akumulátoru významnější roli než samotný počet ujetých kilometrů. Zároveň ale platí, že ani věk, ani nájezd samy o sobě nedokážou spolehlivě určit stav konkrétní baterie. Proto je při nákupu ojetého elektromobilu důležité pracovat s objektivním údajem o jejím skutečném stavu,</w:t>
      </w:r>
      <w:r w:rsidRPr="00274B62">
        <w:rPr>
          <w:rFonts w:asciiTheme="minorHAnsi" w:hAnsiTheme="minorHAnsi" w:cstheme="minorHAnsi"/>
          <w:sz w:val="22"/>
          <w:szCs w:val="22"/>
        </w:rPr>
        <w:t xml:space="preserve">“ říká </w:t>
      </w:r>
      <w:r w:rsidR="00F5269C" w:rsidRPr="00274B62">
        <w:rPr>
          <w:rFonts w:asciiTheme="minorHAnsi" w:hAnsiTheme="minorHAnsi" w:cstheme="minorHAnsi"/>
          <w:sz w:val="22"/>
          <w:szCs w:val="22"/>
        </w:rPr>
        <w:t xml:space="preserve">Mgr. </w:t>
      </w:r>
      <w:r w:rsidRPr="00274B62">
        <w:rPr>
          <w:rFonts w:asciiTheme="minorHAnsi" w:hAnsiTheme="minorHAnsi" w:cstheme="minorHAnsi"/>
          <w:sz w:val="22"/>
          <w:szCs w:val="22"/>
        </w:rPr>
        <w:t>Robert Zůvala, hlavní autor studie z CDV.</w:t>
      </w:r>
    </w:p>
    <w:p w14:paraId="101E5EBC" w14:textId="1F5BABB5" w:rsidR="0096156A" w:rsidRPr="0096156A" w:rsidRDefault="0096156A" w:rsidP="0096156A">
      <w:pPr>
        <w:pStyle w:val="Normlnweb"/>
        <w:shd w:val="clear" w:color="auto" w:fill="FFFFFF"/>
        <w:ind w:right="11"/>
        <w:jc w:val="both"/>
        <w:rPr>
          <w:rFonts w:asciiTheme="minorHAnsi" w:hAnsiTheme="minorHAnsi" w:cstheme="minorHAnsi"/>
          <w:sz w:val="22"/>
          <w:szCs w:val="22"/>
        </w:rPr>
      </w:pPr>
      <w:r w:rsidRPr="0096156A">
        <w:rPr>
          <w:rFonts w:asciiTheme="minorHAnsi" w:hAnsiTheme="minorHAnsi" w:cstheme="minorHAnsi"/>
          <w:sz w:val="22"/>
          <w:szCs w:val="22"/>
        </w:rPr>
        <w:t xml:space="preserve">Podobný trend se projevil také v závislosti na kilometrickém proběhu. U BEV klesl medián </w:t>
      </w:r>
      <w:proofErr w:type="spellStart"/>
      <w:r w:rsidRPr="0096156A">
        <w:rPr>
          <w:rFonts w:asciiTheme="minorHAnsi" w:hAnsiTheme="minorHAnsi" w:cstheme="minorHAnsi"/>
          <w:sz w:val="22"/>
          <w:szCs w:val="22"/>
        </w:rPr>
        <w:t>SoH</w:t>
      </w:r>
      <w:proofErr w:type="spellEnd"/>
      <w:r w:rsidRPr="0096156A">
        <w:rPr>
          <w:rFonts w:asciiTheme="minorHAnsi" w:hAnsiTheme="minorHAnsi" w:cstheme="minorHAnsi"/>
          <w:sz w:val="22"/>
          <w:szCs w:val="22"/>
        </w:rPr>
        <w:t xml:space="preserve"> z 96,0 % u</w:t>
      </w:r>
      <w:r w:rsidR="00577041">
        <w:rPr>
          <w:rFonts w:asciiTheme="minorHAnsi" w:hAnsiTheme="minorHAnsi" w:cstheme="minorHAnsi"/>
          <w:sz w:val="22"/>
          <w:szCs w:val="22"/>
        </w:rPr>
        <w:t> </w:t>
      </w:r>
      <w:r w:rsidRPr="0096156A">
        <w:rPr>
          <w:rFonts w:asciiTheme="minorHAnsi" w:hAnsiTheme="minorHAnsi" w:cstheme="minorHAnsi"/>
          <w:sz w:val="22"/>
          <w:szCs w:val="22"/>
        </w:rPr>
        <w:t>vozidel s nájezdem do 40 tisíc kilometrů na 90,3 % u vozidel s nájezdem nad 100 tisíc kilometrů. U PHEV činily odpovídající hodnoty 97,0 % a 88,0 %.</w:t>
      </w:r>
    </w:p>
    <w:p w14:paraId="02AE1B5E" w14:textId="4522BB91" w:rsidR="009A216D" w:rsidRPr="009A216D" w:rsidRDefault="0096156A" w:rsidP="0096156A">
      <w:pPr>
        <w:pStyle w:val="Normlnweb"/>
        <w:shd w:val="clear" w:color="auto" w:fill="FFFFFF"/>
        <w:ind w:right="11"/>
        <w:jc w:val="both"/>
        <w:rPr>
          <w:rFonts w:asciiTheme="minorHAnsi" w:hAnsiTheme="minorHAnsi" w:cstheme="minorHAnsi"/>
          <w:sz w:val="22"/>
          <w:szCs w:val="22"/>
        </w:rPr>
      </w:pPr>
      <w:r w:rsidRPr="0096156A">
        <w:rPr>
          <w:rFonts w:asciiTheme="minorHAnsi" w:hAnsiTheme="minorHAnsi" w:cstheme="minorHAnsi"/>
          <w:sz w:val="22"/>
          <w:szCs w:val="22"/>
        </w:rPr>
        <w:t xml:space="preserve">Výsledky současně ukázaly rozdílnou dynamiku degradace u BEV a PHEV. U plug-in hybridů byl pokles </w:t>
      </w:r>
      <w:proofErr w:type="spellStart"/>
      <w:r w:rsidRPr="0096156A">
        <w:rPr>
          <w:rFonts w:asciiTheme="minorHAnsi" w:hAnsiTheme="minorHAnsi" w:cstheme="minorHAnsi"/>
          <w:sz w:val="22"/>
          <w:szCs w:val="22"/>
        </w:rPr>
        <w:t>SoH</w:t>
      </w:r>
      <w:proofErr w:type="spellEnd"/>
      <w:r w:rsidRPr="0096156A">
        <w:rPr>
          <w:rFonts w:asciiTheme="minorHAnsi" w:hAnsiTheme="minorHAnsi" w:cstheme="minorHAnsi"/>
          <w:sz w:val="22"/>
          <w:szCs w:val="22"/>
        </w:rPr>
        <w:t xml:space="preserve"> s</w:t>
      </w:r>
      <w:r w:rsidR="00577041">
        <w:rPr>
          <w:rFonts w:asciiTheme="minorHAnsi" w:hAnsiTheme="minorHAnsi" w:cstheme="minorHAnsi"/>
          <w:sz w:val="22"/>
          <w:szCs w:val="22"/>
        </w:rPr>
        <w:t> </w:t>
      </w:r>
      <w:r w:rsidRPr="0096156A">
        <w:rPr>
          <w:rFonts w:asciiTheme="minorHAnsi" w:hAnsiTheme="minorHAnsi" w:cstheme="minorHAnsi"/>
          <w:sz w:val="22"/>
          <w:szCs w:val="22"/>
        </w:rPr>
        <w:t>rostoucím stářím i nájezdem výraznější. Studie však upozorňuje, že dostupná data neumožňovala zohlednit například skutečný podíl elektrické jízdy u PHEV, historii nabíjení nebo počet nabíjecích cyklů. Rozdíly mezi oběma typy vozidel proto nelze vysvětlovat jedinou příčinou.</w:t>
      </w:r>
    </w:p>
    <w:p w14:paraId="37FBDC6E" w14:textId="5220FD9A" w:rsidR="009A216D" w:rsidRPr="009A216D" w:rsidRDefault="009A216D" w:rsidP="009A216D">
      <w:pPr>
        <w:pStyle w:val="Normlnweb"/>
        <w:shd w:val="clear" w:color="auto" w:fill="FFFFFF"/>
        <w:ind w:right="11"/>
        <w:jc w:val="both"/>
        <w:rPr>
          <w:rFonts w:asciiTheme="minorHAnsi" w:hAnsiTheme="minorHAnsi" w:cstheme="minorHAnsi"/>
          <w:bCs/>
          <w:color w:val="0070C0"/>
          <w:sz w:val="28"/>
          <w:szCs w:val="28"/>
        </w:rPr>
      </w:pPr>
      <w:r w:rsidRPr="009A216D">
        <w:rPr>
          <w:rFonts w:asciiTheme="minorHAnsi" w:hAnsiTheme="minorHAnsi" w:cstheme="minorHAnsi"/>
          <w:bCs/>
          <w:color w:val="0070C0"/>
          <w:sz w:val="28"/>
          <w:szCs w:val="28"/>
        </w:rPr>
        <w:lastRenderedPageBreak/>
        <w:t>Odborník: Studie přináší data z reálného provozu</w:t>
      </w:r>
      <w:r w:rsidR="00577041">
        <w:rPr>
          <w:rFonts w:asciiTheme="minorHAnsi" w:hAnsiTheme="minorHAnsi" w:cstheme="minorHAnsi"/>
          <w:bCs/>
          <w:color w:val="0070C0"/>
          <w:sz w:val="28"/>
          <w:szCs w:val="28"/>
        </w:rPr>
        <w:t xml:space="preserve"> </w:t>
      </w:r>
      <w:r w:rsidR="00577041" w:rsidRPr="00577041">
        <w:rPr>
          <w:rFonts w:asciiTheme="minorHAnsi" w:hAnsiTheme="minorHAnsi" w:cstheme="minorHAnsi"/>
          <w:bCs/>
          <w:color w:val="0070C0"/>
          <w:sz w:val="28"/>
          <w:szCs w:val="28"/>
        </w:rPr>
        <w:t>napříč střední Evropou</w:t>
      </w:r>
    </w:p>
    <w:p w14:paraId="56898A94" w14:textId="60946E67" w:rsidR="009A216D" w:rsidRPr="009A216D" w:rsidRDefault="009A216D" w:rsidP="009A216D">
      <w:pPr>
        <w:pStyle w:val="Normlnweb"/>
        <w:shd w:val="clear" w:color="auto" w:fill="FFFFFF"/>
        <w:ind w:right="11"/>
        <w:jc w:val="both"/>
        <w:rPr>
          <w:rFonts w:asciiTheme="minorHAnsi" w:hAnsiTheme="minorHAnsi" w:cstheme="minorHAnsi"/>
          <w:sz w:val="22"/>
          <w:szCs w:val="22"/>
        </w:rPr>
      </w:pPr>
      <w:r w:rsidRPr="00086C45">
        <w:rPr>
          <w:rFonts w:asciiTheme="minorHAnsi" w:hAnsiTheme="minorHAnsi" w:cstheme="minorHAnsi"/>
          <w:sz w:val="22"/>
          <w:szCs w:val="22"/>
        </w:rPr>
        <w:t>„</w:t>
      </w:r>
      <w:r w:rsidRPr="00086C45">
        <w:rPr>
          <w:rFonts w:asciiTheme="minorHAnsi" w:hAnsiTheme="minorHAnsi" w:cstheme="minorHAnsi"/>
          <w:i/>
          <w:iCs/>
          <w:sz w:val="22"/>
          <w:szCs w:val="22"/>
        </w:rPr>
        <w:t>Téma degradace akumulátorů je v současnosti velmi aktuální, zejména s rychlým rozvojem sekundárního trhu s elektrickými vozidly a s obavami některých potenciálních uživatelů, že baterie degradují příliš rychle. Oceňuji, že analýza pracuje s reálnými daty z více zemí střední Evropy a že vedle elektromobilů zahrnuje také plug-in hybridy. Taková data pomáhají lépe odpovědět na otázku, jak se stav baterií skutečně mění s věkem a nájezdem,</w:t>
      </w:r>
      <w:r w:rsidRPr="00086C45">
        <w:rPr>
          <w:rFonts w:asciiTheme="minorHAnsi" w:hAnsiTheme="minorHAnsi" w:cstheme="minorHAnsi"/>
          <w:sz w:val="22"/>
          <w:szCs w:val="22"/>
        </w:rPr>
        <w:t xml:space="preserve">“ </w:t>
      </w:r>
      <w:r w:rsidR="00026A17" w:rsidRPr="00086C45">
        <w:rPr>
          <w:rFonts w:asciiTheme="minorHAnsi" w:hAnsiTheme="minorHAnsi" w:cstheme="minorHAnsi"/>
          <w:sz w:val="22"/>
          <w:szCs w:val="22"/>
        </w:rPr>
        <w:t>říká</w:t>
      </w:r>
      <w:r w:rsidRPr="00086C45">
        <w:rPr>
          <w:rFonts w:asciiTheme="minorHAnsi" w:hAnsiTheme="minorHAnsi" w:cstheme="minorHAnsi"/>
          <w:sz w:val="22"/>
          <w:szCs w:val="22"/>
        </w:rPr>
        <w:t xml:space="preserve"> </w:t>
      </w:r>
      <w:r w:rsidR="00F5269C" w:rsidRPr="00086C45">
        <w:rPr>
          <w:rFonts w:asciiTheme="minorHAnsi" w:hAnsiTheme="minorHAnsi" w:cstheme="minorHAnsi"/>
          <w:sz w:val="22"/>
          <w:szCs w:val="22"/>
        </w:rPr>
        <w:t xml:space="preserve">prof. Ing. Tomáš Kazda, Ph.D., </w:t>
      </w:r>
      <w:r w:rsidR="00026A17" w:rsidRPr="00086C45">
        <w:rPr>
          <w:rFonts w:asciiTheme="minorHAnsi" w:hAnsiTheme="minorHAnsi" w:cstheme="minorHAnsi"/>
          <w:sz w:val="22"/>
          <w:szCs w:val="22"/>
        </w:rPr>
        <w:t>z VUT v Brně a předseda Českého bateriového klastru.</w:t>
      </w:r>
    </w:p>
    <w:p w14:paraId="49C78F2B" w14:textId="77777777" w:rsidR="009A216D" w:rsidRPr="009A216D" w:rsidRDefault="009A216D" w:rsidP="009A216D">
      <w:pPr>
        <w:pStyle w:val="Normlnweb"/>
        <w:shd w:val="clear" w:color="auto" w:fill="FFFFFF"/>
        <w:ind w:right="11"/>
        <w:jc w:val="both"/>
        <w:rPr>
          <w:rFonts w:asciiTheme="minorHAnsi" w:hAnsiTheme="minorHAnsi" w:cstheme="minorHAnsi"/>
          <w:bCs/>
          <w:color w:val="0070C0"/>
          <w:sz w:val="28"/>
          <w:szCs w:val="28"/>
        </w:rPr>
      </w:pPr>
      <w:r w:rsidRPr="009A216D">
        <w:rPr>
          <w:rFonts w:asciiTheme="minorHAnsi" w:hAnsiTheme="minorHAnsi" w:cstheme="minorHAnsi"/>
          <w:bCs/>
          <w:color w:val="0070C0"/>
          <w:sz w:val="28"/>
          <w:szCs w:val="28"/>
        </w:rPr>
        <w:t>Nezávislá diagnostika může zvýšit důvěru na trhu ojetých vozidel</w:t>
      </w:r>
    </w:p>
    <w:p w14:paraId="41376621" w14:textId="77777777" w:rsidR="000A40D6" w:rsidRPr="000A40D6" w:rsidRDefault="000A40D6" w:rsidP="000A40D6">
      <w:pPr>
        <w:pStyle w:val="Normlnweb"/>
        <w:shd w:val="clear" w:color="auto" w:fill="FFFFFF"/>
        <w:ind w:right="11"/>
        <w:jc w:val="both"/>
        <w:rPr>
          <w:rFonts w:asciiTheme="minorHAnsi" w:hAnsiTheme="minorHAnsi" w:cstheme="minorHAnsi"/>
          <w:sz w:val="22"/>
          <w:szCs w:val="22"/>
        </w:rPr>
      </w:pPr>
      <w:r w:rsidRPr="000A40D6">
        <w:rPr>
          <w:rFonts w:asciiTheme="minorHAnsi" w:hAnsiTheme="minorHAnsi" w:cstheme="minorHAnsi"/>
          <w:sz w:val="22"/>
          <w:szCs w:val="22"/>
        </w:rPr>
        <w:t xml:space="preserve">Právě objektivní měření stavu baterie je podle autorů důležitou součástí dalšího rozvoje trhu s ojetými elektrickými vozidly. Samotný věk nebo počet ujetých kilometrů totiž nedokážou plně vysvětlit technický stav konkrétního akumulátoru. Certifikovaný údaj o </w:t>
      </w:r>
      <w:proofErr w:type="spellStart"/>
      <w:r w:rsidRPr="000A40D6">
        <w:rPr>
          <w:rFonts w:asciiTheme="minorHAnsi" w:hAnsiTheme="minorHAnsi" w:cstheme="minorHAnsi"/>
          <w:sz w:val="22"/>
          <w:szCs w:val="22"/>
        </w:rPr>
        <w:t>SoH</w:t>
      </w:r>
      <w:proofErr w:type="spellEnd"/>
      <w:r w:rsidRPr="000A40D6">
        <w:rPr>
          <w:rFonts w:asciiTheme="minorHAnsi" w:hAnsiTheme="minorHAnsi" w:cstheme="minorHAnsi"/>
          <w:sz w:val="22"/>
          <w:szCs w:val="22"/>
        </w:rPr>
        <w:t xml:space="preserve"> proto může kupujícímu nabídnout podstatně konkrétnější informaci než pouze údaj z tachometru nebo rok výroby.</w:t>
      </w:r>
    </w:p>
    <w:p w14:paraId="48535A0B" w14:textId="76E5197A" w:rsidR="000A40D6" w:rsidRPr="000A40D6" w:rsidRDefault="000A40D6" w:rsidP="00F5269C">
      <w:pPr>
        <w:pStyle w:val="Normlnweb"/>
        <w:shd w:val="clear" w:color="auto" w:fill="FFFFFF"/>
        <w:ind w:right="11"/>
        <w:jc w:val="both"/>
        <w:rPr>
          <w:rFonts w:asciiTheme="minorHAnsi" w:hAnsiTheme="minorHAnsi" w:cstheme="minorHAnsi"/>
          <w:sz w:val="22"/>
          <w:szCs w:val="22"/>
        </w:rPr>
      </w:pPr>
      <w:r w:rsidRPr="00274B62">
        <w:rPr>
          <w:rFonts w:asciiTheme="minorHAnsi" w:hAnsiTheme="minorHAnsi" w:cstheme="minorHAnsi"/>
          <w:sz w:val="22"/>
          <w:szCs w:val="22"/>
        </w:rPr>
        <w:t xml:space="preserve">Přínos dlouhodobého sběru a odborného vyhodnocování těchto dat zdůrazňuje také </w:t>
      </w:r>
      <w:r w:rsidR="00F5269C" w:rsidRPr="00274B62">
        <w:rPr>
          <w:rFonts w:asciiTheme="minorHAnsi" w:hAnsiTheme="minorHAnsi" w:cstheme="minorHAnsi"/>
          <w:sz w:val="22"/>
          <w:szCs w:val="22"/>
        </w:rPr>
        <w:t xml:space="preserve">Ing. Jan Dedek, Ph.D., </w:t>
      </w:r>
      <w:r w:rsidRPr="00274B62">
        <w:rPr>
          <w:rFonts w:asciiTheme="minorHAnsi" w:hAnsiTheme="minorHAnsi" w:cstheme="minorHAnsi"/>
          <w:sz w:val="22"/>
          <w:szCs w:val="22"/>
        </w:rPr>
        <w:t xml:space="preserve">ze společnosti AURES </w:t>
      </w:r>
      <w:proofErr w:type="spellStart"/>
      <w:r w:rsidRPr="00274B62">
        <w:rPr>
          <w:rFonts w:asciiTheme="minorHAnsi" w:hAnsiTheme="minorHAnsi" w:cstheme="minorHAnsi"/>
          <w:sz w:val="22"/>
          <w:szCs w:val="22"/>
        </w:rPr>
        <w:t>Holdings</w:t>
      </w:r>
      <w:proofErr w:type="spellEnd"/>
      <w:r w:rsidRPr="00274B62">
        <w:rPr>
          <w:rFonts w:asciiTheme="minorHAnsi" w:hAnsiTheme="minorHAnsi" w:cstheme="minorHAnsi"/>
          <w:sz w:val="22"/>
          <w:szCs w:val="22"/>
        </w:rPr>
        <w:t>, který se na odborném článku podílel: „</w:t>
      </w:r>
      <w:r w:rsidR="00274B62" w:rsidRPr="00274B62">
        <w:rPr>
          <w:rFonts w:asciiTheme="minorHAnsi" w:hAnsiTheme="minorHAnsi" w:cstheme="minorHAnsi"/>
          <w:i/>
          <w:iCs/>
          <w:sz w:val="22"/>
          <w:szCs w:val="22"/>
        </w:rPr>
        <w:t>V naší skupině se testování elektro baterií věnujeme již od začátku roku 2023, abychom mohli zákazníkům našich autocenter AAA AUTO a</w:t>
      </w:r>
      <w:r w:rsidR="00274B62">
        <w:rPr>
          <w:rFonts w:asciiTheme="minorHAnsi" w:hAnsiTheme="minorHAnsi" w:cstheme="minorHAnsi"/>
          <w:i/>
          <w:iCs/>
          <w:sz w:val="22"/>
          <w:szCs w:val="22"/>
        </w:rPr>
        <w:t> </w:t>
      </w:r>
      <w:r w:rsidR="00274B62" w:rsidRPr="00274B62">
        <w:rPr>
          <w:rFonts w:asciiTheme="minorHAnsi" w:hAnsiTheme="minorHAnsi" w:cstheme="minorHAnsi"/>
          <w:i/>
          <w:iCs/>
          <w:sz w:val="22"/>
          <w:szCs w:val="22"/>
        </w:rPr>
        <w:t>Mototechna nabízet i stále žádanější elektromobily. Za tu dobu jsme jich otestovali již více než 7 tisíc. Spolupráce s Centrem dopravního výzkumu je pro nás velkým přínosem, protože nám pomáhá získaná data zasadit do širšího odborného kontextu. Tím, jak roste poptávka po elektromobilech, tak se databáze naměřených hodnot stavu baterií stále rozšiřuje a bude i nadále zajímavé sledovat, jak se tento důležitý parametr vyvíjí s přibývajícím stářím a nájezdem vozidel.</w:t>
      </w:r>
      <w:r w:rsidRPr="00274B62">
        <w:rPr>
          <w:rFonts w:asciiTheme="minorHAnsi" w:hAnsiTheme="minorHAnsi" w:cstheme="minorHAnsi"/>
          <w:sz w:val="22"/>
          <w:szCs w:val="22"/>
        </w:rPr>
        <w:t>“</w:t>
      </w:r>
    </w:p>
    <w:p w14:paraId="578F4BA7" w14:textId="6397BA1A" w:rsidR="000A40D6" w:rsidRDefault="002C1340" w:rsidP="000A40D6">
      <w:pPr>
        <w:pStyle w:val="Normlnweb"/>
        <w:shd w:val="clear" w:color="auto" w:fill="FFFFFF"/>
        <w:ind w:right="11"/>
        <w:jc w:val="both"/>
        <w:rPr>
          <w:rFonts w:asciiTheme="minorHAnsi" w:hAnsiTheme="minorHAnsi" w:cstheme="minorHAnsi"/>
          <w:sz w:val="22"/>
          <w:szCs w:val="22"/>
        </w:rPr>
      </w:pPr>
      <w:r w:rsidRPr="002C1340">
        <w:rPr>
          <w:rFonts w:asciiTheme="minorHAnsi" w:hAnsiTheme="minorHAnsi" w:cstheme="minorHAnsi"/>
          <w:sz w:val="22"/>
          <w:szCs w:val="22"/>
        </w:rPr>
        <w:t>Podle Mgr. Jana Bezděkovského, pověřence ministra dopravy pro čistou mobilitu, přicházejí výsledky studie v době, kdy zájem o ojeté elektromobily na českém trhu výrazně roste. „</w:t>
      </w:r>
      <w:r w:rsidRPr="002C1340">
        <w:rPr>
          <w:rFonts w:asciiTheme="minorHAnsi" w:hAnsiTheme="minorHAnsi" w:cstheme="minorHAnsi"/>
          <w:i/>
          <w:iCs/>
          <w:sz w:val="22"/>
          <w:szCs w:val="22"/>
        </w:rPr>
        <w:t>Prodeje ojetých elektromobilů meziročně rostou dvouciferným tempem, což Ministerstvo dopravy vnímá jako signál postupně se zvyšující důvěry českých zákazníků v elektromobily, a to i na sekundárním trhu.</w:t>
      </w:r>
      <w:r w:rsidRPr="002C1340">
        <w:rPr>
          <w:rFonts w:asciiTheme="minorHAnsi" w:hAnsiTheme="minorHAnsi" w:cstheme="minorHAnsi"/>
          <w:sz w:val="22"/>
          <w:szCs w:val="22"/>
        </w:rPr>
        <w:t>“ S rostoucím počtem ojetých elektromobilů na českých silnicích proto roste také význam dostupnosti spolehlivých informací o stavu jejich baterií</w:t>
      </w:r>
      <w:r w:rsidR="00F5269C" w:rsidRPr="00F5269C">
        <w:rPr>
          <w:rFonts w:asciiTheme="minorHAnsi" w:hAnsiTheme="minorHAnsi" w:cstheme="minorHAnsi"/>
          <w:sz w:val="22"/>
          <w:szCs w:val="22"/>
        </w:rPr>
        <w:t>.</w:t>
      </w:r>
    </w:p>
    <w:p w14:paraId="0C9729E4" w14:textId="1CB85EF0" w:rsidR="00893CF9" w:rsidRPr="00893CF9" w:rsidRDefault="00F5269C" w:rsidP="000A40D6">
      <w:pPr>
        <w:pStyle w:val="Normlnweb"/>
        <w:shd w:val="clear" w:color="auto" w:fill="FFFFFF"/>
        <w:ind w:right="11"/>
        <w:jc w:val="both"/>
        <w:rPr>
          <w:rFonts w:asciiTheme="minorHAnsi" w:hAnsiTheme="minorHAnsi" w:cstheme="minorHAnsi"/>
          <w:sz w:val="22"/>
          <w:szCs w:val="22"/>
        </w:rPr>
      </w:pPr>
      <w:r w:rsidRPr="00F5269C">
        <w:rPr>
          <w:rFonts w:asciiTheme="minorHAnsi" w:hAnsiTheme="minorHAnsi" w:cstheme="minorHAnsi"/>
          <w:sz w:val="22"/>
          <w:szCs w:val="22"/>
        </w:rPr>
        <w:t>Podrobněji o této studii a stavu trakčních baterií na sekundárním trhu s elektromobily promluví Jan Dedek</w:t>
      </w:r>
      <w:r>
        <w:rPr>
          <w:rFonts w:asciiTheme="minorHAnsi" w:hAnsiTheme="minorHAnsi" w:cstheme="minorHAnsi"/>
          <w:sz w:val="22"/>
          <w:szCs w:val="22"/>
        </w:rPr>
        <w:t xml:space="preserve"> </w:t>
      </w:r>
      <w:r w:rsidR="00893CF9" w:rsidRPr="00893CF9">
        <w:rPr>
          <w:rFonts w:asciiTheme="minorHAnsi" w:hAnsiTheme="minorHAnsi" w:cstheme="minorHAnsi"/>
          <w:sz w:val="22"/>
          <w:szCs w:val="22"/>
        </w:rPr>
        <w:t xml:space="preserve">na odborné konferenci „Čistá doprava: Od plánů k činům“, která se uskuteční 1. října 2026 na Ministerstvu dopravy. Registrovat se na konferenci lze </w:t>
      </w:r>
      <w:hyperlink r:id="rId9" w:history="1">
        <w:r w:rsidR="00893CF9" w:rsidRPr="00893CF9">
          <w:rPr>
            <w:rStyle w:val="Hypertextovodkaz"/>
            <w:rFonts w:asciiTheme="minorHAnsi" w:hAnsiTheme="minorHAnsi" w:cstheme="minorHAnsi"/>
            <w:color w:val="auto"/>
            <w:sz w:val="22"/>
            <w:szCs w:val="22"/>
          </w:rPr>
          <w:t>zde</w:t>
        </w:r>
      </w:hyperlink>
      <w:r w:rsidR="00893CF9" w:rsidRPr="00893CF9">
        <w:rPr>
          <w:rFonts w:asciiTheme="minorHAnsi" w:hAnsiTheme="minorHAnsi" w:cstheme="minorHAnsi"/>
          <w:sz w:val="22"/>
          <w:szCs w:val="22"/>
        </w:rPr>
        <w:t>.</w:t>
      </w:r>
    </w:p>
    <w:p w14:paraId="131BDD3D" w14:textId="77777777" w:rsidR="009A216D" w:rsidRPr="009A216D" w:rsidRDefault="009A216D" w:rsidP="009A216D">
      <w:pPr>
        <w:pStyle w:val="Normlnweb"/>
        <w:shd w:val="clear" w:color="auto" w:fill="FFFFFF"/>
        <w:ind w:right="11"/>
        <w:jc w:val="both"/>
        <w:rPr>
          <w:rFonts w:asciiTheme="minorHAnsi" w:hAnsiTheme="minorHAnsi" w:cstheme="minorHAnsi"/>
          <w:bCs/>
          <w:color w:val="0070C0"/>
          <w:sz w:val="28"/>
          <w:szCs w:val="28"/>
        </w:rPr>
      </w:pPr>
      <w:r w:rsidRPr="009A216D">
        <w:rPr>
          <w:rFonts w:asciiTheme="minorHAnsi" w:hAnsiTheme="minorHAnsi" w:cstheme="minorHAnsi"/>
          <w:bCs/>
          <w:color w:val="0070C0"/>
          <w:sz w:val="28"/>
          <w:szCs w:val="28"/>
        </w:rPr>
        <w:t>Data mohou pomoci vyvracet mýty o elektromobilitě</w:t>
      </w:r>
    </w:p>
    <w:p w14:paraId="25332875" w14:textId="7693A853" w:rsidR="009A216D" w:rsidRPr="009A216D" w:rsidRDefault="00F5269C" w:rsidP="009A216D">
      <w:pPr>
        <w:pStyle w:val="Normlnweb"/>
        <w:shd w:val="clear" w:color="auto" w:fill="FFFFFF"/>
        <w:ind w:right="11"/>
        <w:jc w:val="both"/>
        <w:rPr>
          <w:rFonts w:asciiTheme="minorHAnsi" w:hAnsiTheme="minorHAnsi" w:cstheme="minorHAnsi"/>
          <w:sz w:val="22"/>
          <w:szCs w:val="22"/>
        </w:rPr>
      </w:pPr>
      <w:r w:rsidRPr="00F5269C">
        <w:rPr>
          <w:rFonts w:asciiTheme="minorHAnsi" w:hAnsiTheme="minorHAnsi" w:cstheme="minorHAnsi"/>
          <w:sz w:val="22"/>
          <w:szCs w:val="22"/>
        </w:rPr>
        <w:t xml:space="preserve">Analýza ukazuje, že skutečná degradace trakčních akumulátorů je ve většině sledovaných případů nižší, než bývá veřejností očekáváno, a že i starší elektromobily si ve sledovaném souboru ve většině případů zachovávaly vysokou hodnotu </w:t>
      </w:r>
      <w:proofErr w:type="spellStart"/>
      <w:r w:rsidRPr="00F5269C">
        <w:rPr>
          <w:rFonts w:asciiTheme="minorHAnsi" w:hAnsiTheme="minorHAnsi" w:cstheme="minorHAnsi"/>
          <w:sz w:val="22"/>
          <w:szCs w:val="22"/>
        </w:rPr>
        <w:t>SoH</w:t>
      </w:r>
      <w:proofErr w:type="spellEnd"/>
      <w:r w:rsidRPr="00F5269C">
        <w:rPr>
          <w:rFonts w:asciiTheme="minorHAnsi" w:hAnsiTheme="minorHAnsi" w:cstheme="minorHAnsi"/>
          <w:sz w:val="22"/>
          <w:szCs w:val="22"/>
        </w:rPr>
        <w:t>.</w:t>
      </w:r>
    </w:p>
    <w:p w14:paraId="490607C7" w14:textId="3EDE78D0" w:rsidR="009A216D" w:rsidRPr="009A216D" w:rsidRDefault="009A216D" w:rsidP="009A216D">
      <w:pPr>
        <w:pStyle w:val="Normlnweb"/>
        <w:shd w:val="clear" w:color="auto" w:fill="FFFFFF"/>
        <w:ind w:right="11"/>
        <w:jc w:val="both"/>
        <w:rPr>
          <w:rFonts w:asciiTheme="minorHAnsi" w:hAnsiTheme="minorHAnsi" w:cstheme="minorHAnsi"/>
          <w:sz w:val="22"/>
          <w:szCs w:val="22"/>
        </w:rPr>
      </w:pPr>
      <w:r w:rsidRPr="00732BF2">
        <w:rPr>
          <w:rFonts w:asciiTheme="minorHAnsi" w:hAnsiTheme="minorHAnsi" w:cstheme="minorHAnsi"/>
          <w:sz w:val="22"/>
          <w:szCs w:val="22"/>
        </w:rPr>
        <w:t>„</w:t>
      </w:r>
      <w:r w:rsidR="00732BF2" w:rsidRPr="00732BF2">
        <w:rPr>
          <w:rFonts w:asciiTheme="minorHAnsi" w:hAnsiTheme="minorHAnsi" w:cstheme="minorHAnsi"/>
          <w:i/>
          <w:iCs/>
          <w:sz w:val="22"/>
          <w:szCs w:val="22"/>
        </w:rPr>
        <w:t xml:space="preserve">Elektromobilní platforma, tedy asociace sdružující firmy investující do e-mobility, tento počin velmi vítá. Česko dlouhodobě patřilo v podílu registrací elektromobilů mezi státy EU spíše na chvost, mimo jiné i kvůli řadě mýtů, které kolem elektromobility přetrvávaly. Právě analýza založená na reálných datech z provozu je </w:t>
      </w:r>
      <w:r w:rsidR="00732BF2" w:rsidRPr="00732BF2">
        <w:rPr>
          <w:rFonts w:asciiTheme="minorHAnsi" w:hAnsiTheme="minorHAnsi" w:cstheme="minorHAnsi"/>
          <w:i/>
          <w:iCs/>
          <w:sz w:val="22"/>
          <w:szCs w:val="22"/>
        </w:rPr>
        <w:lastRenderedPageBreak/>
        <w:t>dobrým příkladem toho, jak lze tento častý a mezi českou veřejností silně zakořeněný mýtus pomáhat odbourávat</w:t>
      </w:r>
      <w:r w:rsidRPr="00732BF2">
        <w:rPr>
          <w:rFonts w:asciiTheme="minorHAnsi" w:hAnsiTheme="minorHAnsi" w:cstheme="minorHAnsi"/>
          <w:i/>
          <w:iCs/>
          <w:sz w:val="22"/>
          <w:szCs w:val="22"/>
        </w:rPr>
        <w:t>,</w:t>
      </w:r>
      <w:r w:rsidRPr="00732BF2">
        <w:rPr>
          <w:rFonts w:asciiTheme="minorHAnsi" w:hAnsiTheme="minorHAnsi" w:cstheme="minorHAnsi"/>
          <w:sz w:val="22"/>
          <w:szCs w:val="22"/>
        </w:rPr>
        <w:t xml:space="preserve">“ říká </w:t>
      </w:r>
      <w:r w:rsidR="00F5269C" w:rsidRPr="00732BF2">
        <w:rPr>
          <w:rFonts w:asciiTheme="minorHAnsi" w:hAnsiTheme="minorHAnsi" w:cstheme="minorHAnsi"/>
          <w:sz w:val="22"/>
          <w:szCs w:val="22"/>
        </w:rPr>
        <w:t xml:space="preserve">Mgr. </w:t>
      </w:r>
      <w:r w:rsidRPr="00732BF2">
        <w:rPr>
          <w:rFonts w:asciiTheme="minorHAnsi" w:hAnsiTheme="minorHAnsi" w:cstheme="minorHAnsi"/>
          <w:sz w:val="22"/>
          <w:szCs w:val="22"/>
        </w:rPr>
        <w:t>Lukáš Folbrecht</w:t>
      </w:r>
      <w:r w:rsidR="00FF1215" w:rsidRPr="00732BF2">
        <w:rPr>
          <w:rFonts w:asciiTheme="minorHAnsi" w:hAnsiTheme="minorHAnsi" w:cstheme="minorHAnsi"/>
          <w:sz w:val="22"/>
          <w:szCs w:val="22"/>
        </w:rPr>
        <w:t>, tajemník</w:t>
      </w:r>
      <w:r w:rsidRPr="00732BF2">
        <w:rPr>
          <w:rFonts w:asciiTheme="minorHAnsi" w:hAnsiTheme="minorHAnsi" w:cstheme="minorHAnsi"/>
          <w:sz w:val="22"/>
          <w:szCs w:val="22"/>
        </w:rPr>
        <w:t xml:space="preserve"> Elektromobilní platformy.</w:t>
      </w:r>
    </w:p>
    <w:p w14:paraId="5FF0EBC5" w14:textId="7F995620" w:rsidR="009A216D" w:rsidRDefault="009A216D" w:rsidP="009A216D">
      <w:pPr>
        <w:pStyle w:val="Normlnweb"/>
        <w:shd w:val="clear" w:color="auto" w:fill="FFFFFF"/>
        <w:ind w:right="11"/>
        <w:jc w:val="both"/>
        <w:rPr>
          <w:rFonts w:asciiTheme="minorHAnsi" w:hAnsiTheme="minorHAnsi" w:cstheme="minorHAnsi"/>
          <w:sz w:val="22"/>
          <w:szCs w:val="22"/>
        </w:rPr>
      </w:pPr>
      <w:r w:rsidRPr="009A216D">
        <w:rPr>
          <w:rFonts w:asciiTheme="minorHAnsi" w:hAnsiTheme="minorHAnsi" w:cstheme="minorHAnsi"/>
          <w:sz w:val="22"/>
          <w:szCs w:val="22"/>
        </w:rPr>
        <w:t xml:space="preserve">Studie zároveň ukazuje, že při hodnocení konkrétního ojetého elektromobilu není vhodné spoléhat pouze na jeho stáří nebo počet kilometrů. Významnou roli mohou hrát také další faktory, například způsob nabíjení, provozní teploty, počet nabíjecích cyklů nebo skutečný způsob využívání vozidla. Právě tyto údaje by podle autorů </w:t>
      </w:r>
      <w:r w:rsidR="00DE371F">
        <w:rPr>
          <w:rFonts w:asciiTheme="minorHAnsi" w:hAnsiTheme="minorHAnsi" w:cstheme="minorHAnsi"/>
          <w:sz w:val="22"/>
          <w:szCs w:val="22"/>
        </w:rPr>
        <w:t>mohly</w:t>
      </w:r>
      <w:r w:rsidRPr="009A216D">
        <w:rPr>
          <w:rFonts w:asciiTheme="minorHAnsi" w:hAnsiTheme="minorHAnsi" w:cstheme="minorHAnsi"/>
          <w:sz w:val="22"/>
          <w:szCs w:val="22"/>
        </w:rPr>
        <w:t xml:space="preserve"> být předmětem dalšího výzkumu.</w:t>
      </w:r>
    </w:p>
    <w:p w14:paraId="551E58E3" w14:textId="4BD4E366" w:rsidR="007F30D0" w:rsidRPr="007F30D0" w:rsidRDefault="007F30D0" w:rsidP="007F30D0">
      <w:pPr>
        <w:pStyle w:val="Normlnweb"/>
        <w:shd w:val="clear" w:color="auto" w:fill="FFFFFF"/>
        <w:ind w:right="11"/>
        <w:jc w:val="both"/>
        <w:rPr>
          <w:rFonts w:asciiTheme="minorHAnsi" w:hAnsiTheme="minorHAnsi" w:cstheme="minorHAnsi"/>
          <w:sz w:val="22"/>
          <w:szCs w:val="22"/>
        </w:rPr>
      </w:pPr>
      <w:r w:rsidRPr="007F30D0">
        <w:rPr>
          <w:rFonts w:asciiTheme="minorHAnsi" w:hAnsiTheme="minorHAnsi" w:cstheme="minorHAnsi"/>
          <w:b/>
          <w:bCs/>
          <w:sz w:val="22"/>
          <w:szCs w:val="22"/>
        </w:rPr>
        <w:t xml:space="preserve">Jak si baterie ojetých elektromobilů skutečně vedou? </w:t>
      </w:r>
      <w:r w:rsidRPr="007F30D0">
        <w:rPr>
          <w:rFonts w:asciiTheme="minorHAnsi" w:hAnsiTheme="minorHAnsi" w:cstheme="minorHAnsi"/>
          <w:sz w:val="22"/>
          <w:szCs w:val="22"/>
        </w:rPr>
        <w:t>Podrobnější výsledky studie a nové poznatky o</w:t>
      </w:r>
      <w:r>
        <w:rPr>
          <w:rFonts w:asciiTheme="minorHAnsi" w:hAnsiTheme="minorHAnsi" w:cstheme="minorHAnsi"/>
          <w:sz w:val="22"/>
          <w:szCs w:val="22"/>
        </w:rPr>
        <w:t> </w:t>
      </w:r>
      <w:r w:rsidRPr="007F30D0">
        <w:rPr>
          <w:rFonts w:asciiTheme="minorHAnsi" w:hAnsiTheme="minorHAnsi" w:cstheme="minorHAnsi"/>
          <w:sz w:val="22"/>
          <w:szCs w:val="22"/>
        </w:rPr>
        <w:t xml:space="preserve">degradaci trakčních baterií budou představeny už </w:t>
      </w:r>
      <w:r w:rsidRPr="007F30D0">
        <w:rPr>
          <w:rFonts w:asciiTheme="minorHAnsi" w:hAnsiTheme="minorHAnsi" w:cstheme="minorHAnsi"/>
          <w:b/>
          <w:bCs/>
          <w:sz w:val="22"/>
          <w:szCs w:val="22"/>
        </w:rPr>
        <w:t>1. října 2026 na konferenci Čistá doprava: Od plánů k činům</w:t>
      </w:r>
      <w:r w:rsidRPr="007F30D0">
        <w:rPr>
          <w:rFonts w:asciiTheme="minorHAnsi" w:hAnsiTheme="minorHAnsi" w:cstheme="minorHAnsi"/>
          <w:sz w:val="22"/>
          <w:szCs w:val="22"/>
        </w:rPr>
        <w:t xml:space="preserve"> na Ministerstvu dopravy. Program konference a registrace jsou k dispozici </w:t>
      </w:r>
      <w:hyperlink r:id="rId10" w:history="1">
        <w:r w:rsidRPr="007F30D0">
          <w:rPr>
            <w:rStyle w:val="Hypertextovodkaz"/>
            <w:rFonts w:asciiTheme="minorHAnsi" w:hAnsiTheme="minorHAnsi" w:cstheme="minorHAnsi"/>
            <w:color w:val="auto"/>
            <w:sz w:val="22"/>
            <w:szCs w:val="22"/>
          </w:rPr>
          <w:t>zde</w:t>
        </w:r>
      </w:hyperlink>
      <w:r w:rsidRPr="007F30D0">
        <w:rPr>
          <w:rFonts w:asciiTheme="minorHAnsi" w:hAnsiTheme="minorHAnsi" w:cstheme="minorHAnsi"/>
          <w:sz w:val="22"/>
          <w:szCs w:val="22"/>
        </w:rPr>
        <w:t>.</w:t>
      </w:r>
    </w:p>
    <w:p w14:paraId="575B7C5D" w14:textId="0B6ED843" w:rsidR="00A601F9" w:rsidRPr="00B15A7D" w:rsidRDefault="00B15A7D" w:rsidP="00A601F9">
      <w:pPr>
        <w:pStyle w:val="Normlnweb"/>
        <w:shd w:val="clear" w:color="auto" w:fill="FFFFFF"/>
        <w:spacing w:after="165"/>
        <w:ind w:right="14"/>
        <w:jc w:val="both"/>
        <w:rPr>
          <w:rFonts w:asciiTheme="minorHAnsi" w:hAnsiTheme="minorHAnsi" w:cstheme="minorHAnsi"/>
          <w:b/>
          <w:bCs/>
          <w:sz w:val="22"/>
          <w:szCs w:val="22"/>
          <w:highlight w:val="yellow"/>
        </w:rPr>
      </w:pPr>
      <w:r w:rsidRPr="00B15A7D">
        <w:rPr>
          <w:rFonts w:asciiTheme="minorHAnsi" w:hAnsiTheme="minorHAnsi" w:cstheme="minorHAnsi"/>
          <w:b/>
          <w:bCs/>
          <w:sz w:val="22"/>
          <w:szCs w:val="22"/>
        </w:rPr>
        <w:t>O projektu cistadoprava.cz</w:t>
      </w:r>
    </w:p>
    <w:p w14:paraId="65EE7FB4" w14:textId="160D0AA8" w:rsidR="00A601F9" w:rsidRDefault="00A601F9" w:rsidP="00A601F9">
      <w:pPr>
        <w:pStyle w:val="Normlnweb"/>
        <w:shd w:val="clear" w:color="auto" w:fill="FFFFFF"/>
        <w:spacing w:after="165"/>
        <w:ind w:right="14"/>
        <w:jc w:val="both"/>
        <w:rPr>
          <w:rFonts w:asciiTheme="minorHAnsi" w:hAnsiTheme="minorHAnsi" w:cstheme="minorHAnsi"/>
          <w:sz w:val="22"/>
          <w:szCs w:val="22"/>
        </w:rPr>
      </w:pPr>
      <w:r w:rsidRPr="00A94F64">
        <w:rPr>
          <w:rFonts w:asciiTheme="minorHAnsi" w:hAnsiTheme="minorHAnsi" w:cstheme="minorHAnsi"/>
          <w:sz w:val="22"/>
          <w:szCs w:val="22"/>
        </w:rPr>
        <w:t>Projektový portál cistadoprava.cz dlouhodobě přináší analytická data o rozvoji nízkoemisní mobility v České republice a slouží jako informační platforma pro veřejnou správu, firmy i širokou veřejnost.</w:t>
      </w:r>
    </w:p>
    <w:p w14:paraId="2FB55247" w14:textId="233162DE" w:rsidR="00AA5F2E" w:rsidRPr="00835A60" w:rsidRDefault="008101A1" w:rsidP="00AA5F2E">
      <w:pPr>
        <w:jc w:val="both"/>
        <w:rPr>
          <w:rFonts w:asciiTheme="minorHAnsi" w:hAnsiTheme="minorHAnsi" w:cstheme="minorHAnsi"/>
          <w:i/>
          <w:sz w:val="20"/>
          <w:szCs w:val="20"/>
        </w:rPr>
      </w:pPr>
      <w:r>
        <w:rPr>
          <w:rFonts w:asciiTheme="minorHAnsi" w:hAnsiTheme="minorHAnsi" w:cstheme="minorHAnsi"/>
          <w:i/>
          <w:sz w:val="20"/>
          <w:szCs w:val="20"/>
        </w:rPr>
        <w:t>Projektový web</w:t>
      </w:r>
      <w:r w:rsidR="00F144EE" w:rsidRPr="00F144EE">
        <w:rPr>
          <w:rFonts w:asciiTheme="minorHAnsi" w:hAnsiTheme="minorHAnsi" w:cstheme="minorHAnsi"/>
          <w:i/>
          <w:sz w:val="20"/>
          <w:szCs w:val="20"/>
        </w:rPr>
        <w:t xml:space="preserve"> cistadoprava.cz je realizován s finanční podporou Ministerstva dopravy poskytovanou v rámci programu dlouhodobého koncepčního rozvoje výzkumných organizací a s finanční podporou komerčních partnerů, jimiž jsou Pražská energetika, a. s., ORLEN Unipetrol RPA s.r.o. – BENZINA, odštěpný závod, a E.ON Drive </w:t>
      </w:r>
      <w:proofErr w:type="spellStart"/>
      <w:r w:rsidR="00F144EE" w:rsidRPr="00F144EE">
        <w:rPr>
          <w:rFonts w:asciiTheme="minorHAnsi" w:hAnsiTheme="minorHAnsi" w:cstheme="minorHAnsi"/>
          <w:i/>
          <w:sz w:val="20"/>
          <w:szCs w:val="20"/>
        </w:rPr>
        <w:t>Infrastructure</w:t>
      </w:r>
      <w:proofErr w:type="spellEnd"/>
      <w:r w:rsidR="00F144EE" w:rsidRPr="00F144EE">
        <w:rPr>
          <w:rFonts w:asciiTheme="minorHAnsi" w:hAnsiTheme="minorHAnsi" w:cstheme="minorHAnsi"/>
          <w:i/>
          <w:sz w:val="20"/>
          <w:szCs w:val="20"/>
        </w:rPr>
        <w:t xml:space="preserve"> CZ s.r.o.</w:t>
      </w:r>
    </w:p>
    <w:p w14:paraId="58612E4D" w14:textId="77777777" w:rsidR="006C3281" w:rsidRPr="00835A60" w:rsidRDefault="006C3281" w:rsidP="009C2AEE">
      <w:pPr>
        <w:rPr>
          <w:rFonts w:asciiTheme="minorHAnsi" w:hAnsiTheme="minorHAnsi" w:cstheme="minorHAnsi"/>
          <w:i/>
          <w:sz w:val="20"/>
          <w:szCs w:val="20"/>
        </w:rPr>
      </w:pPr>
    </w:p>
    <w:p w14:paraId="4D9E1432" w14:textId="36009563" w:rsidR="009A216D" w:rsidRDefault="004921B8" w:rsidP="009C2AEE">
      <w:pPr>
        <w:ind w:right="14"/>
        <w:jc w:val="both"/>
        <w:rPr>
          <w:rFonts w:asciiTheme="minorHAnsi" w:hAnsiTheme="minorHAnsi" w:cstheme="minorHAnsi"/>
          <w:i/>
          <w:sz w:val="20"/>
          <w:szCs w:val="20"/>
        </w:rPr>
      </w:pPr>
      <w:r w:rsidRPr="00F35FAD">
        <w:rPr>
          <w:rFonts w:asciiTheme="minorHAnsi" w:hAnsiTheme="minorHAnsi" w:cstheme="minorHAnsi"/>
          <w:i/>
          <w:sz w:val="20"/>
          <w:szCs w:val="20"/>
        </w:rPr>
        <w:t>Zdroj:</w:t>
      </w:r>
      <w:r w:rsidR="008973BF" w:rsidRPr="00F35FAD">
        <w:rPr>
          <w:rFonts w:asciiTheme="minorHAnsi" w:hAnsiTheme="minorHAnsi" w:cstheme="minorHAnsi"/>
          <w:i/>
          <w:sz w:val="20"/>
          <w:szCs w:val="20"/>
        </w:rPr>
        <w:t xml:space="preserve"> </w:t>
      </w:r>
      <w:r w:rsidR="00C22560" w:rsidRPr="00C22560">
        <w:rPr>
          <w:rFonts w:asciiTheme="minorHAnsi" w:hAnsiTheme="minorHAnsi" w:cstheme="minorHAnsi"/>
          <w:i/>
          <w:sz w:val="20"/>
          <w:szCs w:val="20"/>
        </w:rPr>
        <w:t xml:space="preserve">ZŮVALA, Robert; BUCSUHÁZY, Kateřina; KADULA, Lukáš a DEDEK, Jan. Analýza degradace trakčních baterií u ojetých elektrických vozidel v Česku, na Slovensku a v Polsku. Silniční obzor, 2026, roč. 87, č. 7-8, s. 34–39. ISSN 0322-7154. DOI: </w:t>
      </w:r>
      <w:hyperlink r:id="rId11" w:history="1">
        <w:r w:rsidR="00C22560" w:rsidRPr="008D0242">
          <w:rPr>
            <w:rStyle w:val="Hypertextovodkaz"/>
            <w:rFonts w:asciiTheme="minorHAnsi" w:hAnsiTheme="minorHAnsi" w:cstheme="minorHAnsi"/>
            <w:i/>
            <w:sz w:val="20"/>
            <w:szCs w:val="20"/>
          </w:rPr>
          <w:t>https://doi.org/10.64720/SO.2026.07.RZ01</w:t>
        </w:r>
      </w:hyperlink>
      <w:r w:rsidR="00C22560">
        <w:rPr>
          <w:rFonts w:asciiTheme="minorHAnsi" w:hAnsiTheme="minorHAnsi" w:cstheme="minorHAnsi"/>
          <w:i/>
          <w:sz w:val="20"/>
          <w:szCs w:val="20"/>
        </w:rPr>
        <w:t xml:space="preserve"> </w:t>
      </w:r>
    </w:p>
    <w:p w14:paraId="09AA554C" w14:textId="77777777" w:rsidR="009A216D" w:rsidRDefault="009A216D" w:rsidP="009C2AEE">
      <w:pPr>
        <w:ind w:right="14"/>
        <w:jc w:val="both"/>
        <w:rPr>
          <w:rFonts w:asciiTheme="minorHAnsi" w:hAnsiTheme="minorHAnsi" w:cstheme="minorHAnsi"/>
          <w:i/>
          <w:sz w:val="20"/>
          <w:szCs w:val="20"/>
        </w:rPr>
      </w:pPr>
    </w:p>
    <w:p w14:paraId="5A07C564" w14:textId="77777777" w:rsidR="00F02B4A" w:rsidRPr="00F35FAD" w:rsidRDefault="00F02B4A" w:rsidP="00F02B4A">
      <w:pPr>
        <w:ind w:right="14"/>
        <w:jc w:val="both"/>
        <w:rPr>
          <w:rFonts w:asciiTheme="minorHAnsi" w:hAnsiTheme="minorHAnsi" w:cstheme="minorHAnsi"/>
          <w:i/>
          <w:sz w:val="20"/>
          <w:szCs w:val="20"/>
        </w:rPr>
      </w:pPr>
    </w:p>
    <w:p w14:paraId="772C86A2" w14:textId="77777777" w:rsidR="00F02B4A" w:rsidRPr="004D5290" w:rsidRDefault="00F02B4A" w:rsidP="00F02B4A">
      <w:pPr>
        <w:ind w:right="14"/>
        <w:rPr>
          <w:rFonts w:asciiTheme="minorHAnsi" w:hAnsiTheme="minorHAnsi" w:cstheme="minorHAnsi"/>
          <w:b/>
          <w:bCs/>
          <w:sz w:val="20"/>
          <w:szCs w:val="20"/>
        </w:rPr>
      </w:pPr>
      <w:r w:rsidRPr="004D5290">
        <w:rPr>
          <w:rFonts w:asciiTheme="minorHAnsi" w:hAnsiTheme="minorHAnsi" w:cstheme="minorHAnsi"/>
          <w:b/>
          <w:bCs/>
          <w:sz w:val="20"/>
          <w:szCs w:val="20"/>
        </w:rPr>
        <w:t>Kontakt</w:t>
      </w:r>
    </w:p>
    <w:p w14:paraId="24D1F151" w14:textId="07315E74" w:rsidR="009C23E7" w:rsidRPr="00D73151" w:rsidRDefault="009C23E7" w:rsidP="009C23E7">
      <w:pPr>
        <w:ind w:right="14"/>
        <w:rPr>
          <w:rFonts w:asciiTheme="minorHAnsi" w:hAnsiTheme="minorHAnsi" w:cstheme="minorHAnsi"/>
          <w:bCs/>
          <w:iCs/>
          <w:sz w:val="20"/>
          <w:szCs w:val="20"/>
        </w:rPr>
      </w:pPr>
      <w:r w:rsidRPr="00D73151">
        <w:rPr>
          <w:rFonts w:asciiTheme="minorHAnsi" w:hAnsiTheme="minorHAnsi" w:cstheme="minorHAnsi"/>
          <w:bCs/>
          <w:iCs/>
          <w:sz w:val="20"/>
          <w:szCs w:val="20"/>
        </w:rPr>
        <w:t xml:space="preserve">Ing. Lukáš Kadula, MBA, +420 778 888 359, </w:t>
      </w:r>
      <w:hyperlink r:id="rId12" w:history="1">
        <w:r w:rsidR="00D73151" w:rsidRPr="00D73151">
          <w:rPr>
            <w:rStyle w:val="Hypertextovodkaz"/>
            <w:rFonts w:asciiTheme="minorHAnsi" w:hAnsiTheme="minorHAnsi" w:cstheme="minorHAnsi"/>
            <w:bCs/>
            <w:iCs/>
            <w:color w:val="auto"/>
            <w:sz w:val="20"/>
            <w:szCs w:val="20"/>
          </w:rPr>
          <w:t>lukas.kadula@cdv.gov.cz</w:t>
        </w:r>
      </w:hyperlink>
      <w:r w:rsidRPr="00D73151">
        <w:rPr>
          <w:rFonts w:asciiTheme="minorHAnsi" w:hAnsiTheme="minorHAnsi" w:cstheme="minorHAnsi"/>
          <w:bCs/>
          <w:iCs/>
          <w:sz w:val="20"/>
          <w:szCs w:val="20"/>
        </w:rPr>
        <w:t xml:space="preserve"> </w:t>
      </w:r>
    </w:p>
    <w:p w14:paraId="25236866" w14:textId="77777777"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Centrum dopravního výzkumu, v. v. i.</w:t>
      </w:r>
    </w:p>
    <w:p w14:paraId="5A68DED4" w14:textId="50658CAE"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Technologická 37</w:t>
      </w:r>
      <w:r w:rsidR="00AE4CB1">
        <w:rPr>
          <w:rFonts w:asciiTheme="minorHAnsi" w:hAnsiTheme="minorHAnsi" w:cstheme="minorHAnsi"/>
          <w:bCs/>
          <w:iCs/>
          <w:sz w:val="20"/>
          <w:szCs w:val="20"/>
        </w:rPr>
        <w:t>5</w:t>
      </w:r>
      <w:r w:rsidRPr="004D5290">
        <w:rPr>
          <w:rFonts w:asciiTheme="minorHAnsi" w:hAnsiTheme="minorHAnsi" w:cstheme="minorHAnsi"/>
          <w:bCs/>
          <w:iCs/>
          <w:sz w:val="20"/>
          <w:szCs w:val="20"/>
        </w:rPr>
        <w:t>/</w:t>
      </w:r>
      <w:r w:rsidR="00AE4CB1">
        <w:rPr>
          <w:rFonts w:asciiTheme="minorHAnsi" w:hAnsiTheme="minorHAnsi" w:cstheme="minorHAnsi"/>
          <w:bCs/>
          <w:iCs/>
          <w:sz w:val="20"/>
          <w:szCs w:val="20"/>
        </w:rPr>
        <w:t>3</w:t>
      </w:r>
      <w:r w:rsidRPr="004D5290">
        <w:rPr>
          <w:rFonts w:asciiTheme="minorHAnsi" w:hAnsiTheme="minorHAnsi" w:cstheme="minorHAnsi"/>
          <w:bCs/>
          <w:iCs/>
          <w:sz w:val="20"/>
          <w:szCs w:val="20"/>
        </w:rPr>
        <w:t>, 708 00 Ostrava (kancelář)</w:t>
      </w:r>
    </w:p>
    <w:p w14:paraId="043959B0" w14:textId="77777777"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 xml:space="preserve">Líšeňská </w:t>
      </w:r>
      <w:proofErr w:type="gramStart"/>
      <w:r w:rsidRPr="004D5290">
        <w:rPr>
          <w:rFonts w:asciiTheme="minorHAnsi" w:hAnsiTheme="minorHAnsi" w:cstheme="minorHAnsi"/>
          <w:bCs/>
          <w:iCs/>
          <w:sz w:val="20"/>
          <w:szCs w:val="20"/>
        </w:rPr>
        <w:t>33a</w:t>
      </w:r>
      <w:proofErr w:type="gramEnd"/>
      <w:r w:rsidRPr="004D5290">
        <w:rPr>
          <w:rFonts w:asciiTheme="minorHAnsi" w:hAnsiTheme="minorHAnsi" w:cstheme="minorHAnsi"/>
          <w:bCs/>
          <w:iCs/>
          <w:sz w:val="20"/>
          <w:szCs w:val="20"/>
        </w:rPr>
        <w:t>, 636 00 Brno (sídlo)</w:t>
      </w:r>
    </w:p>
    <w:p w14:paraId="67979C93" w14:textId="7260BAEE" w:rsidR="00101EB1" w:rsidRPr="007B4BA3" w:rsidRDefault="00101EB1" w:rsidP="007B4BA3">
      <w:pPr>
        <w:ind w:right="14"/>
        <w:rPr>
          <w:rFonts w:asciiTheme="minorHAnsi" w:hAnsiTheme="minorHAnsi" w:cstheme="minorHAnsi"/>
          <w:iCs/>
          <w:sz w:val="20"/>
          <w:szCs w:val="20"/>
        </w:rPr>
      </w:pPr>
    </w:p>
    <w:sectPr w:rsidR="00101EB1" w:rsidRPr="007B4BA3" w:rsidSect="006222B0">
      <w:headerReference w:type="default" r:id="rId13"/>
      <w:footerReference w:type="default" r:id="rId14"/>
      <w:pgSz w:w="11906" w:h="16838"/>
      <w:pgMar w:top="1418" w:right="1134" w:bottom="1418" w:left="1134" w:header="243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89D02" w14:textId="77777777" w:rsidR="00E27FA5" w:rsidRDefault="00E27FA5" w:rsidP="005B310B">
      <w:r>
        <w:separator/>
      </w:r>
    </w:p>
  </w:endnote>
  <w:endnote w:type="continuationSeparator" w:id="0">
    <w:p w14:paraId="0EBCCBD7" w14:textId="77777777" w:rsidR="00E27FA5" w:rsidRDefault="00E27FA5" w:rsidP="005B310B">
      <w:r>
        <w:continuationSeparator/>
      </w:r>
    </w:p>
  </w:endnote>
  <w:endnote w:type="continuationNotice" w:id="1">
    <w:p w14:paraId="0E1AABAF" w14:textId="77777777" w:rsidR="00E27FA5" w:rsidRDefault="00E27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818022"/>
      <w:docPartObj>
        <w:docPartGallery w:val="Page Numbers (Bottom of Page)"/>
        <w:docPartUnique/>
      </w:docPartObj>
    </w:sdtPr>
    <w:sdtContent>
      <w:sdt>
        <w:sdtPr>
          <w:id w:val="1728636285"/>
          <w:docPartObj>
            <w:docPartGallery w:val="Page Numbers (Top of Page)"/>
            <w:docPartUnique/>
          </w:docPartObj>
        </w:sdtPr>
        <w:sdtContent>
          <w:p w14:paraId="0EB78FA1" w14:textId="77777777" w:rsidR="00904CC1" w:rsidRDefault="00EB78B7">
            <w:pPr>
              <w:pStyle w:val="Zpat"/>
              <w:jc w:val="center"/>
            </w:pPr>
            <w:r>
              <w:rPr>
                <w:noProof/>
              </w:rPr>
              <w:drawing>
                <wp:anchor distT="0" distB="0" distL="114300" distR="114300" simplePos="0" relativeHeight="251658241" behindDoc="0" locked="0" layoutInCell="1" allowOverlap="1" wp14:anchorId="1A2FF4C6" wp14:editId="3CCE10BE">
                  <wp:simplePos x="0" y="0"/>
                  <wp:positionH relativeFrom="margin">
                    <wp:posOffset>-713605</wp:posOffset>
                  </wp:positionH>
                  <wp:positionV relativeFrom="paragraph">
                    <wp:posOffset>-13632</wp:posOffset>
                  </wp:positionV>
                  <wp:extent cx="7556500" cy="941230"/>
                  <wp:effectExtent l="0" t="0" r="0" b="0"/>
                  <wp:wrapNone/>
                  <wp:docPr id="6" name="Obrázek 6" descr="Obsah obrázku text, monitor, televizor, obrazov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monitor, televizor, obrazovka&#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7595701" cy="946113"/>
                          </a:xfrm>
                          <a:prstGeom prst="rect">
                            <a:avLst/>
                          </a:prstGeom>
                        </pic:spPr>
                      </pic:pic>
                    </a:graphicData>
                  </a:graphic>
                  <wp14:sizeRelH relativeFrom="margin">
                    <wp14:pctWidth>0</wp14:pctWidth>
                  </wp14:sizeRelH>
                  <wp14:sizeRelV relativeFrom="margin">
                    <wp14:pctHeight>0</wp14:pctHeight>
                  </wp14:sizeRelV>
                </wp:anchor>
              </w:drawing>
            </w:r>
            <w:r w:rsidR="00904CC1">
              <w:t xml:space="preserve">Stránka </w:t>
            </w:r>
            <w:r w:rsidR="00904CC1">
              <w:rPr>
                <w:b/>
                <w:bCs/>
              </w:rPr>
              <w:fldChar w:fldCharType="begin"/>
            </w:r>
            <w:r w:rsidR="00904CC1">
              <w:rPr>
                <w:b/>
                <w:bCs/>
              </w:rPr>
              <w:instrText>PAGE</w:instrText>
            </w:r>
            <w:r w:rsidR="00904CC1">
              <w:rPr>
                <w:b/>
                <w:bCs/>
              </w:rPr>
              <w:fldChar w:fldCharType="separate"/>
            </w:r>
            <w:r w:rsidR="00904CC1">
              <w:rPr>
                <w:b/>
                <w:bCs/>
              </w:rPr>
              <w:t>2</w:t>
            </w:r>
            <w:r w:rsidR="00904CC1">
              <w:rPr>
                <w:b/>
                <w:bCs/>
              </w:rPr>
              <w:fldChar w:fldCharType="end"/>
            </w:r>
            <w:r w:rsidR="00904CC1">
              <w:t xml:space="preserve"> z </w:t>
            </w:r>
            <w:r w:rsidR="00904CC1">
              <w:rPr>
                <w:b/>
                <w:bCs/>
              </w:rPr>
              <w:fldChar w:fldCharType="begin"/>
            </w:r>
            <w:r w:rsidR="00904CC1">
              <w:rPr>
                <w:b/>
                <w:bCs/>
              </w:rPr>
              <w:instrText>NUMPAGES</w:instrText>
            </w:r>
            <w:r w:rsidR="00904CC1">
              <w:rPr>
                <w:b/>
                <w:bCs/>
              </w:rPr>
              <w:fldChar w:fldCharType="separate"/>
            </w:r>
            <w:r w:rsidR="00904CC1">
              <w:rPr>
                <w:b/>
                <w:bCs/>
              </w:rPr>
              <w:t>2</w:t>
            </w:r>
            <w:r w:rsidR="00904CC1">
              <w:rPr>
                <w:b/>
                <w:bCs/>
              </w:rPr>
              <w:fldChar w:fldCharType="end"/>
            </w:r>
          </w:p>
        </w:sdtContent>
      </w:sdt>
    </w:sdtContent>
  </w:sdt>
  <w:p w14:paraId="330DBC7A" w14:textId="77777777" w:rsidR="00357AB6" w:rsidRPr="00132FC6" w:rsidRDefault="00357AB6" w:rsidP="003F22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08757" w14:textId="77777777" w:rsidR="00E27FA5" w:rsidRDefault="00E27FA5" w:rsidP="005B310B">
      <w:r>
        <w:separator/>
      </w:r>
    </w:p>
  </w:footnote>
  <w:footnote w:type="continuationSeparator" w:id="0">
    <w:p w14:paraId="6E1C01D0" w14:textId="77777777" w:rsidR="00E27FA5" w:rsidRDefault="00E27FA5" w:rsidP="005B310B">
      <w:r>
        <w:continuationSeparator/>
      </w:r>
    </w:p>
  </w:footnote>
  <w:footnote w:type="continuationNotice" w:id="1">
    <w:p w14:paraId="656BFA50" w14:textId="77777777" w:rsidR="00E27FA5" w:rsidRDefault="00E27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6AE" w14:textId="77777777" w:rsidR="005B310B" w:rsidRPr="005B310B" w:rsidRDefault="00AB0680" w:rsidP="005B310B">
    <w:pPr>
      <w:pStyle w:val="Zhlav"/>
    </w:pPr>
    <w:r>
      <w:rPr>
        <w:noProof/>
      </w:rPr>
      <w:drawing>
        <wp:anchor distT="0" distB="0" distL="114300" distR="114300" simplePos="0" relativeHeight="251658240" behindDoc="0" locked="0" layoutInCell="1" allowOverlap="1" wp14:anchorId="5CBC3A09" wp14:editId="3C0B57B1">
          <wp:simplePos x="0" y="0"/>
          <wp:positionH relativeFrom="page">
            <wp:posOffset>3810</wp:posOffset>
          </wp:positionH>
          <wp:positionV relativeFrom="page">
            <wp:posOffset>129067</wp:posOffset>
          </wp:positionV>
          <wp:extent cx="7556500" cy="108077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7556500" cy="10807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774"/>
    <w:multiLevelType w:val="hybridMultilevel"/>
    <w:tmpl w:val="046625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321ED7"/>
    <w:multiLevelType w:val="hybridMultilevel"/>
    <w:tmpl w:val="C952EB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08328D"/>
    <w:multiLevelType w:val="hybridMultilevel"/>
    <w:tmpl w:val="0AA4AE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B032FA"/>
    <w:multiLevelType w:val="hybridMultilevel"/>
    <w:tmpl w:val="DF4606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221FFE"/>
    <w:multiLevelType w:val="hybridMultilevel"/>
    <w:tmpl w:val="0CAEED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E575D1"/>
    <w:multiLevelType w:val="hybridMultilevel"/>
    <w:tmpl w:val="534E57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950A5E"/>
    <w:multiLevelType w:val="hybridMultilevel"/>
    <w:tmpl w:val="E52EACFE"/>
    <w:lvl w:ilvl="0" w:tplc="4A2623CE">
      <w:start w:val="26"/>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7" w15:restartNumberingAfterBreak="0">
    <w:nsid w:val="1B6F3003"/>
    <w:multiLevelType w:val="hybridMultilevel"/>
    <w:tmpl w:val="5252A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0FE3D73"/>
    <w:multiLevelType w:val="hybridMultilevel"/>
    <w:tmpl w:val="F4949882"/>
    <w:lvl w:ilvl="0" w:tplc="A322B90E">
      <w:start w:val="18"/>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9" w15:restartNumberingAfterBreak="0">
    <w:nsid w:val="368602D1"/>
    <w:multiLevelType w:val="hybridMultilevel"/>
    <w:tmpl w:val="613CBF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5173EE2"/>
    <w:multiLevelType w:val="hybridMultilevel"/>
    <w:tmpl w:val="7B8AF75E"/>
    <w:lvl w:ilvl="0" w:tplc="75721D5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0673D4E"/>
    <w:multiLevelType w:val="hybridMultilevel"/>
    <w:tmpl w:val="3962D41A"/>
    <w:lvl w:ilvl="0" w:tplc="04050001">
      <w:start w:val="1"/>
      <w:numFmt w:val="bullet"/>
      <w:lvlText w:val=""/>
      <w:lvlJc w:val="left"/>
      <w:pPr>
        <w:ind w:left="436" w:hanging="360"/>
      </w:pPr>
      <w:rPr>
        <w:rFonts w:ascii="Symbol" w:hAnsi="Symbol"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2" w15:restartNumberingAfterBreak="0">
    <w:nsid w:val="53094196"/>
    <w:multiLevelType w:val="hybridMultilevel"/>
    <w:tmpl w:val="A11E9E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4EA5715"/>
    <w:multiLevelType w:val="hybridMultilevel"/>
    <w:tmpl w:val="213200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844BBE"/>
    <w:multiLevelType w:val="hybridMultilevel"/>
    <w:tmpl w:val="14B859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A80704B"/>
    <w:multiLevelType w:val="hybridMultilevel"/>
    <w:tmpl w:val="9E662548"/>
    <w:lvl w:ilvl="0" w:tplc="0405000B">
      <w:start w:val="1"/>
      <w:numFmt w:val="bullet"/>
      <w:lvlText w:val=""/>
      <w:lvlJc w:val="left"/>
      <w:pPr>
        <w:ind w:left="436" w:hanging="360"/>
      </w:pPr>
      <w:rPr>
        <w:rFonts w:ascii="Wingdings" w:hAnsi="Wingdings"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6" w15:restartNumberingAfterBreak="0">
    <w:nsid w:val="7F04192A"/>
    <w:multiLevelType w:val="hybridMultilevel"/>
    <w:tmpl w:val="A1A8153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5943808">
    <w:abstractNumId w:val="16"/>
  </w:num>
  <w:num w:numId="2" w16cid:durableId="94139269">
    <w:abstractNumId w:val="10"/>
  </w:num>
  <w:num w:numId="3" w16cid:durableId="884949006">
    <w:abstractNumId w:val="7"/>
  </w:num>
  <w:num w:numId="4" w16cid:durableId="563108375">
    <w:abstractNumId w:val="6"/>
  </w:num>
  <w:num w:numId="5" w16cid:durableId="1107888010">
    <w:abstractNumId w:val="15"/>
  </w:num>
  <w:num w:numId="6" w16cid:durableId="25907670">
    <w:abstractNumId w:val="11"/>
  </w:num>
  <w:num w:numId="7" w16cid:durableId="1968731105">
    <w:abstractNumId w:val="8"/>
  </w:num>
  <w:num w:numId="8" w16cid:durableId="68190181">
    <w:abstractNumId w:val="13"/>
  </w:num>
  <w:num w:numId="9" w16cid:durableId="590704649">
    <w:abstractNumId w:val="14"/>
  </w:num>
  <w:num w:numId="10" w16cid:durableId="340473660">
    <w:abstractNumId w:val="9"/>
  </w:num>
  <w:num w:numId="11" w16cid:durableId="1793866395">
    <w:abstractNumId w:val="4"/>
  </w:num>
  <w:num w:numId="12" w16cid:durableId="439492890">
    <w:abstractNumId w:val="5"/>
  </w:num>
  <w:num w:numId="13" w16cid:durableId="2054498019">
    <w:abstractNumId w:val="3"/>
  </w:num>
  <w:num w:numId="14" w16cid:durableId="1998073124">
    <w:abstractNumId w:val="0"/>
  </w:num>
  <w:num w:numId="15" w16cid:durableId="1185097743">
    <w:abstractNumId w:val="1"/>
  </w:num>
  <w:num w:numId="16" w16cid:durableId="1576888920">
    <w:abstractNumId w:val="2"/>
  </w:num>
  <w:num w:numId="17" w16cid:durableId="532882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AD"/>
    <w:rsid w:val="00000F2E"/>
    <w:rsid w:val="0000127B"/>
    <w:rsid w:val="00001A07"/>
    <w:rsid w:val="00007949"/>
    <w:rsid w:val="00010808"/>
    <w:rsid w:val="00010D79"/>
    <w:rsid w:val="00011613"/>
    <w:rsid w:val="00011F2D"/>
    <w:rsid w:val="00014248"/>
    <w:rsid w:val="00014E12"/>
    <w:rsid w:val="000167EB"/>
    <w:rsid w:val="000167FE"/>
    <w:rsid w:val="00020025"/>
    <w:rsid w:val="00020278"/>
    <w:rsid w:val="00021E30"/>
    <w:rsid w:val="00026A17"/>
    <w:rsid w:val="00031D00"/>
    <w:rsid w:val="00033324"/>
    <w:rsid w:val="0003376F"/>
    <w:rsid w:val="00033875"/>
    <w:rsid w:val="0004086C"/>
    <w:rsid w:val="000473B7"/>
    <w:rsid w:val="000522EE"/>
    <w:rsid w:val="00053A75"/>
    <w:rsid w:val="00054445"/>
    <w:rsid w:val="00062AAA"/>
    <w:rsid w:val="00063F15"/>
    <w:rsid w:val="000675BD"/>
    <w:rsid w:val="00070943"/>
    <w:rsid w:val="0007136E"/>
    <w:rsid w:val="00072E4F"/>
    <w:rsid w:val="00082F0F"/>
    <w:rsid w:val="000865EB"/>
    <w:rsid w:val="00086C45"/>
    <w:rsid w:val="000877C8"/>
    <w:rsid w:val="0009062F"/>
    <w:rsid w:val="00094D4B"/>
    <w:rsid w:val="000A0EF8"/>
    <w:rsid w:val="000A40D6"/>
    <w:rsid w:val="000A4F39"/>
    <w:rsid w:val="000A6A6F"/>
    <w:rsid w:val="000B1EB0"/>
    <w:rsid w:val="000C0840"/>
    <w:rsid w:val="000C3224"/>
    <w:rsid w:val="000C37FF"/>
    <w:rsid w:val="000C437D"/>
    <w:rsid w:val="000C64FC"/>
    <w:rsid w:val="000D4253"/>
    <w:rsid w:val="000D42F5"/>
    <w:rsid w:val="000D5C6E"/>
    <w:rsid w:val="000E010E"/>
    <w:rsid w:val="000E290D"/>
    <w:rsid w:val="000E4685"/>
    <w:rsid w:val="000E4C50"/>
    <w:rsid w:val="000E5AF0"/>
    <w:rsid w:val="000F3588"/>
    <w:rsid w:val="000F4AC1"/>
    <w:rsid w:val="000F6AA2"/>
    <w:rsid w:val="00100563"/>
    <w:rsid w:val="00100D68"/>
    <w:rsid w:val="00101EB1"/>
    <w:rsid w:val="00104B45"/>
    <w:rsid w:val="00111A1D"/>
    <w:rsid w:val="00111B52"/>
    <w:rsid w:val="0011311E"/>
    <w:rsid w:val="0012035F"/>
    <w:rsid w:val="00124B5F"/>
    <w:rsid w:val="00125F64"/>
    <w:rsid w:val="00126F61"/>
    <w:rsid w:val="00127556"/>
    <w:rsid w:val="0013125F"/>
    <w:rsid w:val="00132FC6"/>
    <w:rsid w:val="0013327B"/>
    <w:rsid w:val="00134BD9"/>
    <w:rsid w:val="00136C2F"/>
    <w:rsid w:val="00136EBD"/>
    <w:rsid w:val="00137932"/>
    <w:rsid w:val="00145332"/>
    <w:rsid w:val="0014536C"/>
    <w:rsid w:val="0014649A"/>
    <w:rsid w:val="001473D9"/>
    <w:rsid w:val="0014757D"/>
    <w:rsid w:val="00150BFD"/>
    <w:rsid w:val="00151F5B"/>
    <w:rsid w:val="00152317"/>
    <w:rsid w:val="001611BD"/>
    <w:rsid w:val="0016267E"/>
    <w:rsid w:val="00162E52"/>
    <w:rsid w:val="00164CAC"/>
    <w:rsid w:val="001728AA"/>
    <w:rsid w:val="00173DDE"/>
    <w:rsid w:val="00174569"/>
    <w:rsid w:val="001754BF"/>
    <w:rsid w:val="001754C9"/>
    <w:rsid w:val="00175934"/>
    <w:rsid w:val="00175DDF"/>
    <w:rsid w:val="0017695B"/>
    <w:rsid w:val="00177AD4"/>
    <w:rsid w:val="0018090E"/>
    <w:rsid w:val="00182949"/>
    <w:rsid w:val="00182E6B"/>
    <w:rsid w:val="00190302"/>
    <w:rsid w:val="00195612"/>
    <w:rsid w:val="00196E29"/>
    <w:rsid w:val="001A34E7"/>
    <w:rsid w:val="001A371A"/>
    <w:rsid w:val="001A3773"/>
    <w:rsid w:val="001B29CD"/>
    <w:rsid w:val="001B2E46"/>
    <w:rsid w:val="001B44AD"/>
    <w:rsid w:val="001C1017"/>
    <w:rsid w:val="001C1DEA"/>
    <w:rsid w:val="001C41BF"/>
    <w:rsid w:val="001D18AC"/>
    <w:rsid w:val="001D1C8C"/>
    <w:rsid w:val="001D29C1"/>
    <w:rsid w:val="001D3DB6"/>
    <w:rsid w:val="001D5527"/>
    <w:rsid w:val="001D5712"/>
    <w:rsid w:val="001D59EC"/>
    <w:rsid w:val="001E0E7E"/>
    <w:rsid w:val="001E431E"/>
    <w:rsid w:val="001E5D1B"/>
    <w:rsid w:val="001F1BB3"/>
    <w:rsid w:val="001F60EA"/>
    <w:rsid w:val="00200D7D"/>
    <w:rsid w:val="00201DD3"/>
    <w:rsid w:val="00203B03"/>
    <w:rsid w:val="002066E4"/>
    <w:rsid w:val="002068F0"/>
    <w:rsid w:val="00212EA7"/>
    <w:rsid w:val="00213E43"/>
    <w:rsid w:val="002221C7"/>
    <w:rsid w:val="002238B8"/>
    <w:rsid w:val="00227A1B"/>
    <w:rsid w:val="00231A98"/>
    <w:rsid w:val="0023430F"/>
    <w:rsid w:val="00241809"/>
    <w:rsid w:val="002419A3"/>
    <w:rsid w:val="00247A18"/>
    <w:rsid w:val="00247AFE"/>
    <w:rsid w:val="0025408C"/>
    <w:rsid w:val="0025440C"/>
    <w:rsid w:val="00254709"/>
    <w:rsid w:val="002567F4"/>
    <w:rsid w:val="00256A59"/>
    <w:rsid w:val="00256F2E"/>
    <w:rsid w:val="00263276"/>
    <w:rsid w:val="00265297"/>
    <w:rsid w:val="00266D65"/>
    <w:rsid w:val="00270218"/>
    <w:rsid w:val="002702F9"/>
    <w:rsid w:val="00270DC9"/>
    <w:rsid w:val="00271792"/>
    <w:rsid w:val="0027225E"/>
    <w:rsid w:val="00273919"/>
    <w:rsid w:val="00274B62"/>
    <w:rsid w:val="00274CD4"/>
    <w:rsid w:val="00275D42"/>
    <w:rsid w:val="00277435"/>
    <w:rsid w:val="00281F22"/>
    <w:rsid w:val="00281F6B"/>
    <w:rsid w:val="00282C3C"/>
    <w:rsid w:val="002831F6"/>
    <w:rsid w:val="00284F94"/>
    <w:rsid w:val="00291015"/>
    <w:rsid w:val="002962AA"/>
    <w:rsid w:val="002964B6"/>
    <w:rsid w:val="002A0657"/>
    <w:rsid w:val="002A2774"/>
    <w:rsid w:val="002A2E9C"/>
    <w:rsid w:val="002A4E06"/>
    <w:rsid w:val="002A6394"/>
    <w:rsid w:val="002B0BE5"/>
    <w:rsid w:val="002B2C5C"/>
    <w:rsid w:val="002C1340"/>
    <w:rsid w:val="002C2DD0"/>
    <w:rsid w:val="002C3878"/>
    <w:rsid w:val="002C4474"/>
    <w:rsid w:val="002C6B04"/>
    <w:rsid w:val="002D01C6"/>
    <w:rsid w:val="002D07F4"/>
    <w:rsid w:val="002D2568"/>
    <w:rsid w:val="002D34FE"/>
    <w:rsid w:val="002D6254"/>
    <w:rsid w:val="002D715C"/>
    <w:rsid w:val="002D7FE3"/>
    <w:rsid w:val="002E5F49"/>
    <w:rsid w:val="002F3369"/>
    <w:rsid w:val="002F3CB0"/>
    <w:rsid w:val="002F578E"/>
    <w:rsid w:val="002F6FEA"/>
    <w:rsid w:val="0030150F"/>
    <w:rsid w:val="0031202B"/>
    <w:rsid w:val="00313219"/>
    <w:rsid w:val="0031322C"/>
    <w:rsid w:val="003132DE"/>
    <w:rsid w:val="00316ABC"/>
    <w:rsid w:val="00316BF6"/>
    <w:rsid w:val="00317D8A"/>
    <w:rsid w:val="00321476"/>
    <w:rsid w:val="00323BC9"/>
    <w:rsid w:val="003261BC"/>
    <w:rsid w:val="003264B2"/>
    <w:rsid w:val="003309D0"/>
    <w:rsid w:val="00332BA7"/>
    <w:rsid w:val="003339C2"/>
    <w:rsid w:val="00334B11"/>
    <w:rsid w:val="00335125"/>
    <w:rsid w:val="00336A12"/>
    <w:rsid w:val="00337579"/>
    <w:rsid w:val="0034473F"/>
    <w:rsid w:val="00347007"/>
    <w:rsid w:val="00350276"/>
    <w:rsid w:val="0035300A"/>
    <w:rsid w:val="00353424"/>
    <w:rsid w:val="003534AE"/>
    <w:rsid w:val="00353C65"/>
    <w:rsid w:val="0035415E"/>
    <w:rsid w:val="00357496"/>
    <w:rsid w:val="00357AB6"/>
    <w:rsid w:val="00363783"/>
    <w:rsid w:val="00365BBF"/>
    <w:rsid w:val="00366217"/>
    <w:rsid w:val="0036653E"/>
    <w:rsid w:val="00366D4F"/>
    <w:rsid w:val="0037086C"/>
    <w:rsid w:val="0037157D"/>
    <w:rsid w:val="00375DE9"/>
    <w:rsid w:val="00376F8D"/>
    <w:rsid w:val="0038030D"/>
    <w:rsid w:val="00380C0C"/>
    <w:rsid w:val="003813DD"/>
    <w:rsid w:val="00384DF2"/>
    <w:rsid w:val="00385500"/>
    <w:rsid w:val="00385613"/>
    <w:rsid w:val="003875DE"/>
    <w:rsid w:val="003968E3"/>
    <w:rsid w:val="00396902"/>
    <w:rsid w:val="003A2677"/>
    <w:rsid w:val="003B3820"/>
    <w:rsid w:val="003B3A66"/>
    <w:rsid w:val="003B6A2B"/>
    <w:rsid w:val="003C21FE"/>
    <w:rsid w:val="003C3950"/>
    <w:rsid w:val="003C397A"/>
    <w:rsid w:val="003C7D23"/>
    <w:rsid w:val="003D3CED"/>
    <w:rsid w:val="003E3413"/>
    <w:rsid w:val="003F000C"/>
    <w:rsid w:val="003F22A1"/>
    <w:rsid w:val="003F22B6"/>
    <w:rsid w:val="003F41DD"/>
    <w:rsid w:val="003F5D84"/>
    <w:rsid w:val="003F6827"/>
    <w:rsid w:val="003F6EA3"/>
    <w:rsid w:val="003F7073"/>
    <w:rsid w:val="00402926"/>
    <w:rsid w:val="00404FA4"/>
    <w:rsid w:val="00406749"/>
    <w:rsid w:val="00410B53"/>
    <w:rsid w:val="0041128A"/>
    <w:rsid w:val="00413548"/>
    <w:rsid w:val="00422091"/>
    <w:rsid w:val="00422B42"/>
    <w:rsid w:val="00425712"/>
    <w:rsid w:val="00425759"/>
    <w:rsid w:val="00427AC6"/>
    <w:rsid w:val="00430657"/>
    <w:rsid w:val="004311AE"/>
    <w:rsid w:val="004314E9"/>
    <w:rsid w:val="0043242D"/>
    <w:rsid w:val="0043671F"/>
    <w:rsid w:val="00443483"/>
    <w:rsid w:val="00443B41"/>
    <w:rsid w:val="00450A8E"/>
    <w:rsid w:val="0045128C"/>
    <w:rsid w:val="00452F39"/>
    <w:rsid w:val="004549F5"/>
    <w:rsid w:val="004567D0"/>
    <w:rsid w:val="004569B2"/>
    <w:rsid w:val="00457672"/>
    <w:rsid w:val="0046672F"/>
    <w:rsid w:val="00472E66"/>
    <w:rsid w:val="00473FAB"/>
    <w:rsid w:val="00475FAE"/>
    <w:rsid w:val="0048068E"/>
    <w:rsid w:val="004807E6"/>
    <w:rsid w:val="00487DBE"/>
    <w:rsid w:val="00490563"/>
    <w:rsid w:val="00491940"/>
    <w:rsid w:val="00491AFC"/>
    <w:rsid w:val="004921B8"/>
    <w:rsid w:val="00493F1E"/>
    <w:rsid w:val="004A1129"/>
    <w:rsid w:val="004A588D"/>
    <w:rsid w:val="004A7168"/>
    <w:rsid w:val="004B72BB"/>
    <w:rsid w:val="004C0C23"/>
    <w:rsid w:val="004C1F9D"/>
    <w:rsid w:val="004C41A1"/>
    <w:rsid w:val="004D1955"/>
    <w:rsid w:val="004D4884"/>
    <w:rsid w:val="004D5290"/>
    <w:rsid w:val="004D52BD"/>
    <w:rsid w:val="004E2811"/>
    <w:rsid w:val="004E2B8D"/>
    <w:rsid w:val="004E3F7F"/>
    <w:rsid w:val="004E51CA"/>
    <w:rsid w:val="004F0B52"/>
    <w:rsid w:val="004F3BDD"/>
    <w:rsid w:val="004F54AE"/>
    <w:rsid w:val="004F587A"/>
    <w:rsid w:val="004F6468"/>
    <w:rsid w:val="004F7074"/>
    <w:rsid w:val="00502D30"/>
    <w:rsid w:val="005066DA"/>
    <w:rsid w:val="005114BD"/>
    <w:rsid w:val="0051172D"/>
    <w:rsid w:val="00514D23"/>
    <w:rsid w:val="0051633B"/>
    <w:rsid w:val="0052323B"/>
    <w:rsid w:val="0052415A"/>
    <w:rsid w:val="00527F63"/>
    <w:rsid w:val="0053052C"/>
    <w:rsid w:val="0053061D"/>
    <w:rsid w:val="00533C85"/>
    <w:rsid w:val="00534896"/>
    <w:rsid w:val="00537835"/>
    <w:rsid w:val="00543C17"/>
    <w:rsid w:val="00547C35"/>
    <w:rsid w:val="00553F76"/>
    <w:rsid w:val="00555844"/>
    <w:rsid w:val="00555EBF"/>
    <w:rsid w:val="005560B3"/>
    <w:rsid w:val="00560E73"/>
    <w:rsid w:val="00566C50"/>
    <w:rsid w:val="00570F4D"/>
    <w:rsid w:val="005719CA"/>
    <w:rsid w:val="00572900"/>
    <w:rsid w:val="005735F6"/>
    <w:rsid w:val="00573C0D"/>
    <w:rsid w:val="00577041"/>
    <w:rsid w:val="005770DE"/>
    <w:rsid w:val="005843AA"/>
    <w:rsid w:val="00586024"/>
    <w:rsid w:val="00591A02"/>
    <w:rsid w:val="005948CC"/>
    <w:rsid w:val="00596AC0"/>
    <w:rsid w:val="005A1D37"/>
    <w:rsid w:val="005A21A4"/>
    <w:rsid w:val="005A2F39"/>
    <w:rsid w:val="005A49B6"/>
    <w:rsid w:val="005A7DEA"/>
    <w:rsid w:val="005B2B89"/>
    <w:rsid w:val="005B310B"/>
    <w:rsid w:val="005B5A96"/>
    <w:rsid w:val="005B7E06"/>
    <w:rsid w:val="005C5503"/>
    <w:rsid w:val="005C604B"/>
    <w:rsid w:val="005D2531"/>
    <w:rsid w:val="005D526E"/>
    <w:rsid w:val="005D6D0C"/>
    <w:rsid w:val="005E0D20"/>
    <w:rsid w:val="005E2294"/>
    <w:rsid w:val="005E3132"/>
    <w:rsid w:val="005E3439"/>
    <w:rsid w:val="005E486A"/>
    <w:rsid w:val="005E7891"/>
    <w:rsid w:val="005E795A"/>
    <w:rsid w:val="005F0265"/>
    <w:rsid w:val="005F07B6"/>
    <w:rsid w:val="005F09D9"/>
    <w:rsid w:val="005F0B58"/>
    <w:rsid w:val="005F2FA7"/>
    <w:rsid w:val="005F5FAA"/>
    <w:rsid w:val="005F65E3"/>
    <w:rsid w:val="00601AE0"/>
    <w:rsid w:val="00605AB5"/>
    <w:rsid w:val="00606624"/>
    <w:rsid w:val="00607229"/>
    <w:rsid w:val="00607D7C"/>
    <w:rsid w:val="00610CA4"/>
    <w:rsid w:val="00610FA8"/>
    <w:rsid w:val="00613333"/>
    <w:rsid w:val="00617E0B"/>
    <w:rsid w:val="006222B0"/>
    <w:rsid w:val="00623107"/>
    <w:rsid w:val="00625B07"/>
    <w:rsid w:val="00631226"/>
    <w:rsid w:val="00632FD1"/>
    <w:rsid w:val="0063423D"/>
    <w:rsid w:val="00643237"/>
    <w:rsid w:val="00643E8D"/>
    <w:rsid w:val="0064667E"/>
    <w:rsid w:val="006512DC"/>
    <w:rsid w:val="00652FA3"/>
    <w:rsid w:val="006572DA"/>
    <w:rsid w:val="00661C8A"/>
    <w:rsid w:val="0066347E"/>
    <w:rsid w:val="00670650"/>
    <w:rsid w:val="006712BF"/>
    <w:rsid w:val="00671EB4"/>
    <w:rsid w:val="0067265E"/>
    <w:rsid w:val="00674D5A"/>
    <w:rsid w:val="00676481"/>
    <w:rsid w:val="00676A91"/>
    <w:rsid w:val="0067718E"/>
    <w:rsid w:val="006811BA"/>
    <w:rsid w:val="006821BE"/>
    <w:rsid w:val="00682F0D"/>
    <w:rsid w:val="006844B4"/>
    <w:rsid w:val="00684BBB"/>
    <w:rsid w:val="00685BB6"/>
    <w:rsid w:val="0068607D"/>
    <w:rsid w:val="00687026"/>
    <w:rsid w:val="0069089D"/>
    <w:rsid w:val="00691C68"/>
    <w:rsid w:val="00692F9B"/>
    <w:rsid w:val="00693B32"/>
    <w:rsid w:val="006960BD"/>
    <w:rsid w:val="006A4417"/>
    <w:rsid w:val="006A551C"/>
    <w:rsid w:val="006A63DB"/>
    <w:rsid w:val="006A7597"/>
    <w:rsid w:val="006A7E92"/>
    <w:rsid w:val="006B1D90"/>
    <w:rsid w:val="006B3E7D"/>
    <w:rsid w:val="006B44D7"/>
    <w:rsid w:val="006B5CF8"/>
    <w:rsid w:val="006B5E50"/>
    <w:rsid w:val="006B68AD"/>
    <w:rsid w:val="006C3281"/>
    <w:rsid w:val="006C5020"/>
    <w:rsid w:val="006C5534"/>
    <w:rsid w:val="006C5A69"/>
    <w:rsid w:val="006C7847"/>
    <w:rsid w:val="006D0CD5"/>
    <w:rsid w:val="006D2A91"/>
    <w:rsid w:val="006D340D"/>
    <w:rsid w:val="006D3F78"/>
    <w:rsid w:val="006E2B6A"/>
    <w:rsid w:val="006E3E31"/>
    <w:rsid w:val="006E53A5"/>
    <w:rsid w:val="006E6AA2"/>
    <w:rsid w:val="006F1A8F"/>
    <w:rsid w:val="006F3F95"/>
    <w:rsid w:val="006F67AB"/>
    <w:rsid w:val="006F74C0"/>
    <w:rsid w:val="00700CDB"/>
    <w:rsid w:val="00702B4E"/>
    <w:rsid w:val="00703D7E"/>
    <w:rsid w:val="0070600D"/>
    <w:rsid w:val="007135A1"/>
    <w:rsid w:val="00714C99"/>
    <w:rsid w:val="00717804"/>
    <w:rsid w:val="007211D6"/>
    <w:rsid w:val="00721ADD"/>
    <w:rsid w:val="00722345"/>
    <w:rsid w:val="00730B48"/>
    <w:rsid w:val="0073156E"/>
    <w:rsid w:val="007326DA"/>
    <w:rsid w:val="007328C0"/>
    <w:rsid w:val="00732BF2"/>
    <w:rsid w:val="00733579"/>
    <w:rsid w:val="00733612"/>
    <w:rsid w:val="007341B3"/>
    <w:rsid w:val="00735554"/>
    <w:rsid w:val="00744D1A"/>
    <w:rsid w:val="00745064"/>
    <w:rsid w:val="007506FA"/>
    <w:rsid w:val="00762BCE"/>
    <w:rsid w:val="007631C9"/>
    <w:rsid w:val="007669CC"/>
    <w:rsid w:val="00766AFC"/>
    <w:rsid w:val="00777070"/>
    <w:rsid w:val="007809DB"/>
    <w:rsid w:val="00780E38"/>
    <w:rsid w:val="00782B4A"/>
    <w:rsid w:val="007839C3"/>
    <w:rsid w:val="00785919"/>
    <w:rsid w:val="00785C42"/>
    <w:rsid w:val="00786B22"/>
    <w:rsid w:val="00793F7C"/>
    <w:rsid w:val="007A1FB4"/>
    <w:rsid w:val="007A6D60"/>
    <w:rsid w:val="007A6E75"/>
    <w:rsid w:val="007A6F32"/>
    <w:rsid w:val="007B09BF"/>
    <w:rsid w:val="007B11B8"/>
    <w:rsid w:val="007B1210"/>
    <w:rsid w:val="007B184D"/>
    <w:rsid w:val="007B4258"/>
    <w:rsid w:val="007B4301"/>
    <w:rsid w:val="007B4BA3"/>
    <w:rsid w:val="007B67B6"/>
    <w:rsid w:val="007C2969"/>
    <w:rsid w:val="007D02A4"/>
    <w:rsid w:val="007D02C1"/>
    <w:rsid w:val="007D3556"/>
    <w:rsid w:val="007D35F8"/>
    <w:rsid w:val="007D39AF"/>
    <w:rsid w:val="007D563F"/>
    <w:rsid w:val="007D6ED6"/>
    <w:rsid w:val="007E1FEF"/>
    <w:rsid w:val="007E3405"/>
    <w:rsid w:val="007E5DB5"/>
    <w:rsid w:val="007E75B1"/>
    <w:rsid w:val="007F3018"/>
    <w:rsid w:val="007F30D0"/>
    <w:rsid w:val="007F35CB"/>
    <w:rsid w:val="007F73D0"/>
    <w:rsid w:val="00801F5C"/>
    <w:rsid w:val="008037A6"/>
    <w:rsid w:val="00807F71"/>
    <w:rsid w:val="008101A1"/>
    <w:rsid w:val="008128D4"/>
    <w:rsid w:val="008136FC"/>
    <w:rsid w:val="00815BA9"/>
    <w:rsid w:val="00816D8E"/>
    <w:rsid w:val="00823124"/>
    <w:rsid w:val="00825F37"/>
    <w:rsid w:val="00826659"/>
    <w:rsid w:val="008314AF"/>
    <w:rsid w:val="008322D6"/>
    <w:rsid w:val="008346E8"/>
    <w:rsid w:val="00834EF4"/>
    <w:rsid w:val="00835A60"/>
    <w:rsid w:val="00841108"/>
    <w:rsid w:val="008413A9"/>
    <w:rsid w:val="0084373E"/>
    <w:rsid w:val="00843B6C"/>
    <w:rsid w:val="008469E9"/>
    <w:rsid w:val="00847F59"/>
    <w:rsid w:val="008512AA"/>
    <w:rsid w:val="00856B99"/>
    <w:rsid w:val="008578BE"/>
    <w:rsid w:val="00857D6F"/>
    <w:rsid w:val="00861153"/>
    <w:rsid w:val="00862316"/>
    <w:rsid w:val="008625A8"/>
    <w:rsid w:val="00862834"/>
    <w:rsid w:val="00864713"/>
    <w:rsid w:val="00864E4E"/>
    <w:rsid w:val="00867061"/>
    <w:rsid w:val="00876971"/>
    <w:rsid w:val="00880221"/>
    <w:rsid w:val="00881F12"/>
    <w:rsid w:val="00890498"/>
    <w:rsid w:val="00893CF9"/>
    <w:rsid w:val="00895FF9"/>
    <w:rsid w:val="0089608B"/>
    <w:rsid w:val="008973BF"/>
    <w:rsid w:val="008A0971"/>
    <w:rsid w:val="008A27D0"/>
    <w:rsid w:val="008A403B"/>
    <w:rsid w:val="008B0FF0"/>
    <w:rsid w:val="008B6793"/>
    <w:rsid w:val="008B7736"/>
    <w:rsid w:val="008C09A4"/>
    <w:rsid w:val="008C1292"/>
    <w:rsid w:val="008C358A"/>
    <w:rsid w:val="008C6B56"/>
    <w:rsid w:val="008D28EB"/>
    <w:rsid w:val="008E119E"/>
    <w:rsid w:val="008E2ACF"/>
    <w:rsid w:val="008E3AC3"/>
    <w:rsid w:val="008E44CF"/>
    <w:rsid w:val="008E79BB"/>
    <w:rsid w:val="008F10DA"/>
    <w:rsid w:val="008F213D"/>
    <w:rsid w:val="008F29AB"/>
    <w:rsid w:val="008F5FE3"/>
    <w:rsid w:val="008F6FF1"/>
    <w:rsid w:val="008F703E"/>
    <w:rsid w:val="00904CC1"/>
    <w:rsid w:val="009112FF"/>
    <w:rsid w:val="009115F2"/>
    <w:rsid w:val="00911CD0"/>
    <w:rsid w:val="0092000A"/>
    <w:rsid w:val="009234CC"/>
    <w:rsid w:val="009238A9"/>
    <w:rsid w:val="00923E1D"/>
    <w:rsid w:val="0093488B"/>
    <w:rsid w:val="00935970"/>
    <w:rsid w:val="00935A3C"/>
    <w:rsid w:val="00942020"/>
    <w:rsid w:val="00942215"/>
    <w:rsid w:val="00947773"/>
    <w:rsid w:val="009503FC"/>
    <w:rsid w:val="0095324B"/>
    <w:rsid w:val="00955F43"/>
    <w:rsid w:val="0096024F"/>
    <w:rsid w:val="00960250"/>
    <w:rsid w:val="0096156A"/>
    <w:rsid w:val="0096160B"/>
    <w:rsid w:val="00967015"/>
    <w:rsid w:val="009717D0"/>
    <w:rsid w:val="00971AA5"/>
    <w:rsid w:val="00974C2B"/>
    <w:rsid w:val="00975DEB"/>
    <w:rsid w:val="00994078"/>
    <w:rsid w:val="00995B5A"/>
    <w:rsid w:val="009A0CC0"/>
    <w:rsid w:val="009A216D"/>
    <w:rsid w:val="009A2ABB"/>
    <w:rsid w:val="009A344E"/>
    <w:rsid w:val="009A3CDF"/>
    <w:rsid w:val="009A4AD7"/>
    <w:rsid w:val="009A744B"/>
    <w:rsid w:val="009B0578"/>
    <w:rsid w:val="009B28EA"/>
    <w:rsid w:val="009B5AE1"/>
    <w:rsid w:val="009B6BEE"/>
    <w:rsid w:val="009B713A"/>
    <w:rsid w:val="009C23E7"/>
    <w:rsid w:val="009C2AEE"/>
    <w:rsid w:val="009C4301"/>
    <w:rsid w:val="009C4B10"/>
    <w:rsid w:val="009C75C3"/>
    <w:rsid w:val="009D13E7"/>
    <w:rsid w:val="009D1DAD"/>
    <w:rsid w:val="009D4693"/>
    <w:rsid w:val="009D4EA2"/>
    <w:rsid w:val="009E1FBF"/>
    <w:rsid w:val="009F459B"/>
    <w:rsid w:val="009F74CB"/>
    <w:rsid w:val="00A01223"/>
    <w:rsid w:val="00A0196E"/>
    <w:rsid w:val="00A01D8A"/>
    <w:rsid w:val="00A02BC1"/>
    <w:rsid w:val="00A04A24"/>
    <w:rsid w:val="00A0511D"/>
    <w:rsid w:val="00A07485"/>
    <w:rsid w:val="00A104B4"/>
    <w:rsid w:val="00A10E24"/>
    <w:rsid w:val="00A115D6"/>
    <w:rsid w:val="00A1352E"/>
    <w:rsid w:val="00A14C7B"/>
    <w:rsid w:val="00A21FBC"/>
    <w:rsid w:val="00A245F0"/>
    <w:rsid w:val="00A2689D"/>
    <w:rsid w:val="00A271A8"/>
    <w:rsid w:val="00A30A91"/>
    <w:rsid w:val="00A3109F"/>
    <w:rsid w:val="00A31C76"/>
    <w:rsid w:val="00A31DDF"/>
    <w:rsid w:val="00A33838"/>
    <w:rsid w:val="00A359C0"/>
    <w:rsid w:val="00A37B7F"/>
    <w:rsid w:val="00A42571"/>
    <w:rsid w:val="00A44099"/>
    <w:rsid w:val="00A45589"/>
    <w:rsid w:val="00A478BE"/>
    <w:rsid w:val="00A507CA"/>
    <w:rsid w:val="00A5337F"/>
    <w:rsid w:val="00A543E0"/>
    <w:rsid w:val="00A5521C"/>
    <w:rsid w:val="00A601F9"/>
    <w:rsid w:val="00A61E2A"/>
    <w:rsid w:val="00A63E21"/>
    <w:rsid w:val="00A70F8F"/>
    <w:rsid w:val="00A7305C"/>
    <w:rsid w:val="00A73FDC"/>
    <w:rsid w:val="00A81D88"/>
    <w:rsid w:val="00A82C0C"/>
    <w:rsid w:val="00A82F2A"/>
    <w:rsid w:val="00A84BB4"/>
    <w:rsid w:val="00A92265"/>
    <w:rsid w:val="00A922C6"/>
    <w:rsid w:val="00A93B70"/>
    <w:rsid w:val="00A94F64"/>
    <w:rsid w:val="00AA35F1"/>
    <w:rsid w:val="00AA5F2E"/>
    <w:rsid w:val="00AA7DF0"/>
    <w:rsid w:val="00AB0680"/>
    <w:rsid w:val="00AB504A"/>
    <w:rsid w:val="00AB6277"/>
    <w:rsid w:val="00AC224C"/>
    <w:rsid w:val="00AD2EDE"/>
    <w:rsid w:val="00AD3D4B"/>
    <w:rsid w:val="00AE04FB"/>
    <w:rsid w:val="00AE0985"/>
    <w:rsid w:val="00AE1D88"/>
    <w:rsid w:val="00AE1E7D"/>
    <w:rsid w:val="00AE2111"/>
    <w:rsid w:val="00AE2770"/>
    <w:rsid w:val="00AE38D8"/>
    <w:rsid w:val="00AE4CB1"/>
    <w:rsid w:val="00AE51FF"/>
    <w:rsid w:val="00AF06AF"/>
    <w:rsid w:val="00AF42F1"/>
    <w:rsid w:val="00AF4427"/>
    <w:rsid w:val="00AF625C"/>
    <w:rsid w:val="00AF7A0F"/>
    <w:rsid w:val="00B008BF"/>
    <w:rsid w:val="00B03DE3"/>
    <w:rsid w:val="00B04FC9"/>
    <w:rsid w:val="00B05E86"/>
    <w:rsid w:val="00B10EB8"/>
    <w:rsid w:val="00B13174"/>
    <w:rsid w:val="00B15A7D"/>
    <w:rsid w:val="00B17DFB"/>
    <w:rsid w:val="00B21DC2"/>
    <w:rsid w:val="00B226B5"/>
    <w:rsid w:val="00B23E83"/>
    <w:rsid w:val="00B24127"/>
    <w:rsid w:val="00B26760"/>
    <w:rsid w:val="00B27C47"/>
    <w:rsid w:val="00B30368"/>
    <w:rsid w:val="00B357A4"/>
    <w:rsid w:val="00B36357"/>
    <w:rsid w:val="00B37813"/>
    <w:rsid w:val="00B42C93"/>
    <w:rsid w:val="00B45CC7"/>
    <w:rsid w:val="00B53AD8"/>
    <w:rsid w:val="00B54CB5"/>
    <w:rsid w:val="00B54EEE"/>
    <w:rsid w:val="00B55D77"/>
    <w:rsid w:val="00B62DF7"/>
    <w:rsid w:val="00B64BCD"/>
    <w:rsid w:val="00B6638F"/>
    <w:rsid w:val="00B66C35"/>
    <w:rsid w:val="00B66CF0"/>
    <w:rsid w:val="00B70B8D"/>
    <w:rsid w:val="00B72A0F"/>
    <w:rsid w:val="00B85D8F"/>
    <w:rsid w:val="00B867BB"/>
    <w:rsid w:val="00B8693C"/>
    <w:rsid w:val="00B92E02"/>
    <w:rsid w:val="00B96809"/>
    <w:rsid w:val="00BA11C2"/>
    <w:rsid w:val="00BA3A0F"/>
    <w:rsid w:val="00BA4EA7"/>
    <w:rsid w:val="00BB027D"/>
    <w:rsid w:val="00BB0A12"/>
    <w:rsid w:val="00BB4C3B"/>
    <w:rsid w:val="00BC1876"/>
    <w:rsid w:val="00BC5E32"/>
    <w:rsid w:val="00BD256E"/>
    <w:rsid w:val="00BD72C2"/>
    <w:rsid w:val="00BE3768"/>
    <w:rsid w:val="00BE57F9"/>
    <w:rsid w:val="00BF0920"/>
    <w:rsid w:val="00BF21B0"/>
    <w:rsid w:val="00BF39ED"/>
    <w:rsid w:val="00BF4A97"/>
    <w:rsid w:val="00C037F4"/>
    <w:rsid w:val="00C03AC0"/>
    <w:rsid w:val="00C1003F"/>
    <w:rsid w:val="00C117A7"/>
    <w:rsid w:val="00C12098"/>
    <w:rsid w:val="00C12D2D"/>
    <w:rsid w:val="00C14D95"/>
    <w:rsid w:val="00C1638D"/>
    <w:rsid w:val="00C177F7"/>
    <w:rsid w:val="00C20314"/>
    <w:rsid w:val="00C204A8"/>
    <w:rsid w:val="00C22560"/>
    <w:rsid w:val="00C23F42"/>
    <w:rsid w:val="00C27FC6"/>
    <w:rsid w:val="00C31199"/>
    <w:rsid w:val="00C31B66"/>
    <w:rsid w:val="00C31EC4"/>
    <w:rsid w:val="00C33641"/>
    <w:rsid w:val="00C40F73"/>
    <w:rsid w:val="00C45BC5"/>
    <w:rsid w:val="00C47079"/>
    <w:rsid w:val="00C47C21"/>
    <w:rsid w:val="00C5391D"/>
    <w:rsid w:val="00C53C56"/>
    <w:rsid w:val="00C63386"/>
    <w:rsid w:val="00C65335"/>
    <w:rsid w:val="00C656A3"/>
    <w:rsid w:val="00C71A38"/>
    <w:rsid w:val="00C742CF"/>
    <w:rsid w:val="00C75BD9"/>
    <w:rsid w:val="00C840C4"/>
    <w:rsid w:val="00C85C23"/>
    <w:rsid w:val="00C87A03"/>
    <w:rsid w:val="00C92046"/>
    <w:rsid w:val="00C95684"/>
    <w:rsid w:val="00C975B8"/>
    <w:rsid w:val="00CA2239"/>
    <w:rsid w:val="00CA4599"/>
    <w:rsid w:val="00CA4674"/>
    <w:rsid w:val="00CA523A"/>
    <w:rsid w:val="00CA5BBC"/>
    <w:rsid w:val="00CA5CF4"/>
    <w:rsid w:val="00CA62CD"/>
    <w:rsid w:val="00CB5E66"/>
    <w:rsid w:val="00CB7E10"/>
    <w:rsid w:val="00CC3E3E"/>
    <w:rsid w:val="00CC4766"/>
    <w:rsid w:val="00CC4DEE"/>
    <w:rsid w:val="00CC65EA"/>
    <w:rsid w:val="00CC7C9D"/>
    <w:rsid w:val="00CD1677"/>
    <w:rsid w:val="00CD3DD1"/>
    <w:rsid w:val="00CD5AEC"/>
    <w:rsid w:val="00CD79ED"/>
    <w:rsid w:val="00CE0CBB"/>
    <w:rsid w:val="00CF20E0"/>
    <w:rsid w:val="00D04422"/>
    <w:rsid w:val="00D05614"/>
    <w:rsid w:val="00D119D0"/>
    <w:rsid w:val="00D13C5E"/>
    <w:rsid w:val="00D14278"/>
    <w:rsid w:val="00D14862"/>
    <w:rsid w:val="00D14B8C"/>
    <w:rsid w:val="00D16721"/>
    <w:rsid w:val="00D171F6"/>
    <w:rsid w:val="00D1746E"/>
    <w:rsid w:val="00D208E1"/>
    <w:rsid w:val="00D21177"/>
    <w:rsid w:val="00D220B2"/>
    <w:rsid w:val="00D27089"/>
    <w:rsid w:val="00D31C4B"/>
    <w:rsid w:val="00D33102"/>
    <w:rsid w:val="00D356E2"/>
    <w:rsid w:val="00D35917"/>
    <w:rsid w:val="00D40EE7"/>
    <w:rsid w:val="00D415FC"/>
    <w:rsid w:val="00D4170F"/>
    <w:rsid w:val="00D47065"/>
    <w:rsid w:val="00D512E1"/>
    <w:rsid w:val="00D5167F"/>
    <w:rsid w:val="00D5521B"/>
    <w:rsid w:val="00D56AB5"/>
    <w:rsid w:val="00D57820"/>
    <w:rsid w:val="00D611A9"/>
    <w:rsid w:val="00D62B7D"/>
    <w:rsid w:val="00D63201"/>
    <w:rsid w:val="00D650D4"/>
    <w:rsid w:val="00D657E7"/>
    <w:rsid w:val="00D73151"/>
    <w:rsid w:val="00D77707"/>
    <w:rsid w:val="00D81F03"/>
    <w:rsid w:val="00D83068"/>
    <w:rsid w:val="00D861E4"/>
    <w:rsid w:val="00D869D7"/>
    <w:rsid w:val="00D9031F"/>
    <w:rsid w:val="00D96804"/>
    <w:rsid w:val="00DA11E5"/>
    <w:rsid w:val="00DA13B9"/>
    <w:rsid w:val="00DA206E"/>
    <w:rsid w:val="00DA2D9C"/>
    <w:rsid w:val="00DA4B40"/>
    <w:rsid w:val="00DB1600"/>
    <w:rsid w:val="00DB38D9"/>
    <w:rsid w:val="00DB585B"/>
    <w:rsid w:val="00DC4C6A"/>
    <w:rsid w:val="00DC6098"/>
    <w:rsid w:val="00DC60D7"/>
    <w:rsid w:val="00DC6E4A"/>
    <w:rsid w:val="00DD2AB9"/>
    <w:rsid w:val="00DD2F2C"/>
    <w:rsid w:val="00DD4490"/>
    <w:rsid w:val="00DE06EB"/>
    <w:rsid w:val="00DE2248"/>
    <w:rsid w:val="00DE371F"/>
    <w:rsid w:val="00DE5474"/>
    <w:rsid w:val="00E024F9"/>
    <w:rsid w:val="00E045AC"/>
    <w:rsid w:val="00E10D3B"/>
    <w:rsid w:val="00E1432B"/>
    <w:rsid w:val="00E14CC9"/>
    <w:rsid w:val="00E208D5"/>
    <w:rsid w:val="00E213CD"/>
    <w:rsid w:val="00E26131"/>
    <w:rsid w:val="00E27FA5"/>
    <w:rsid w:val="00E3223D"/>
    <w:rsid w:val="00E32B1A"/>
    <w:rsid w:val="00E33B3F"/>
    <w:rsid w:val="00E44B45"/>
    <w:rsid w:val="00E44E28"/>
    <w:rsid w:val="00E51218"/>
    <w:rsid w:val="00E53455"/>
    <w:rsid w:val="00E5464F"/>
    <w:rsid w:val="00E556FF"/>
    <w:rsid w:val="00E64856"/>
    <w:rsid w:val="00E6543A"/>
    <w:rsid w:val="00E65D44"/>
    <w:rsid w:val="00E66EE2"/>
    <w:rsid w:val="00E67B8D"/>
    <w:rsid w:val="00E725C3"/>
    <w:rsid w:val="00E73475"/>
    <w:rsid w:val="00E808D1"/>
    <w:rsid w:val="00E820F6"/>
    <w:rsid w:val="00E839BE"/>
    <w:rsid w:val="00E86CEA"/>
    <w:rsid w:val="00E90A8F"/>
    <w:rsid w:val="00E914D5"/>
    <w:rsid w:val="00E954F4"/>
    <w:rsid w:val="00E95AA9"/>
    <w:rsid w:val="00E9652E"/>
    <w:rsid w:val="00EA1366"/>
    <w:rsid w:val="00EA525E"/>
    <w:rsid w:val="00EA6AA3"/>
    <w:rsid w:val="00EA7879"/>
    <w:rsid w:val="00EB1689"/>
    <w:rsid w:val="00EB64AF"/>
    <w:rsid w:val="00EB7535"/>
    <w:rsid w:val="00EB78B7"/>
    <w:rsid w:val="00EC057E"/>
    <w:rsid w:val="00EC34DE"/>
    <w:rsid w:val="00ED7708"/>
    <w:rsid w:val="00EE16B0"/>
    <w:rsid w:val="00EE1FFC"/>
    <w:rsid w:val="00EE4A29"/>
    <w:rsid w:val="00EE7C25"/>
    <w:rsid w:val="00EF00E8"/>
    <w:rsid w:val="00EF1B93"/>
    <w:rsid w:val="00EF45AF"/>
    <w:rsid w:val="00F006F9"/>
    <w:rsid w:val="00F0121A"/>
    <w:rsid w:val="00F02B4A"/>
    <w:rsid w:val="00F03E3F"/>
    <w:rsid w:val="00F04359"/>
    <w:rsid w:val="00F0579E"/>
    <w:rsid w:val="00F10330"/>
    <w:rsid w:val="00F144EE"/>
    <w:rsid w:val="00F210E1"/>
    <w:rsid w:val="00F2712F"/>
    <w:rsid w:val="00F33998"/>
    <w:rsid w:val="00F34756"/>
    <w:rsid w:val="00F35A9B"/>
    <w:rsid w:val="00F35FAD"/>
    <w:rsid w:val="00F4733C"/>
    <w:rsid w:val="00F505A9"/>
    <w:rsid w:val="00F50FC5"/>
    <w:rsid w:val="00F51F10"/>
    <w:rsid w:val="00F52264"/>
    <w:rsid w:val="00F524F0"/>
    <w:rsid w:val="00F5269C"/>
    <w:rsid w:val="00F5470C"/>
    <w:rsid w:val="00F54C5D"/>
    <w:rsid w:val="00F55E2D"/>
    <w:rsid w:val="00F57B40"/>
    <w:rsid w:val="00F60127"/>
    <w:rsid w:val="00F627E9"/>
    <w:rsid w:val="00F678F2"/>
    <w:rsid w:val="00F7521B"/>
    <w:rsid w:val="00F771B9"/>
    <w:rsid w:val="00F77E93"/>
    <w:rsid w:val="00F84740"/>
    <w:rsid w:val="00F8697C"/>
    <w:rsid w:val="00F86CE7"/>
    <w:rsid w:val="00F86E35"/>
    <w:rsid w:val="00F91608"/>
    <w:rsid w:val="00F91FED"/>
    <w:rsid w:val="00F93EA4"/>
    <w:rsid w:val="00FA1617"/>
    <w:rsid w:val="00FB3DE0"/>
    <w:rsid w:val="00FB629F"/>
    <w:rsid w:val="00FC042C"/>
    <w:rsid w:val="00FC2356"/>
    <w:rsid w:val="00FC2617"/>
    <w:rsid w:val="00FC2ACB"/>
    <w:rsid w:val="00FC32F3"/>
    <w:rsid w:val="00FD0739"/>
    <w:rsid w:val="00FD3920"/>
    <w:rsid w:val="00FD434B"/>
    <w:rsid w:val="00FE06B5"/>
    <w:rsid w:val="00FE229E"/>
    <w:rsid w:val="00FE263C"/>
    <w:rsid w:val="00FE2EA7"/>
    <w:rsid w:val="00FE3819"/>
    <w:rsid w:val="00FE7AF3"/>
    <w:rsid w:val="00FF1215"/>
    <w:rsid w:val="00FF5222"/>
    <w:rsid w:val="00FF5331"/>
    <w:rsid w:val="00FF5B05"/>
    <w:rsid w:val="00FF747D"/>
    <w:rsid w:val="0499B98A"/>
    <w:rsid w:val="066DFDDC"/>
    <w:rsid w:val="0E29C8AF"/>
    <w:rsid w:val="0E73819A"/>
    <w:rsid w:val="1087A88A"/>
    <w:rsid w:val="216F7AC6"/>
    <w:rsid w:val="2457D428"/>
    <w:rsid w:val="286C9786"/>
    <w:rsid w:val="36840FA1"/>
    <w:rsid w:val="3695979D"/>
    <w:rsid w:val="3D465712"/>
    <w:rsid w:val="40246F83"/>
    <w:rsid w:val="4853634C"/>
    <w:rsid w:val="4C5804C2"/>
    <w:rsid w:val="583AD6B0"/>
    <w:rsid w:val="5F77BEB2"/>
    <w:rsid w:val="63CF7B1D"/>
    <w:rsid w:val="65EB70CB"/>
    <w:rsid w:val="68AACB6E"/>
    <w:rsid w:val="68F01E5D"/>
    <w:rsid w:val="71B009AD"/>
    <w:rsid w:val="74810F93"/>
    <w:rsid w:val="76F39E1D"/>
    <w:rsid w:val="7F00AD2B"/>
    <w:rsid w:val="7FA32A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6A211"/>
  <w15:chartTrackingRefBased/>
  <w15:docId w15:val="{E819CBDB-3491-417F-B9B0-A294675E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68A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B310B"/>
    <w:pPr>
      <w:tabs>
        <w:tab w:val="center" w:pos="4536"/>
        <w:tab w:val="right" w:pos="9072"/>
      </w:tabs>
    </w:pPr>
    <w:rPr>
      <w:rFonts w:asciiTheme="minorHAnsi" w:hAnsiTheme="minorHAnsi" w:cstheme="minorBidi"/>
    </w:rPr>
  </w:style>
  <w:style w:type="character" w:customStyle="1" w:styleId="ZhlavChar">
    <w:name w:val="Záhlaví Char"/>
    <w:basedOn w:val="Standardnpsmoodstavce"/>
    <w:link w:val="Zhlav"/>
    <w:uiPriority w:val="99"/>
    <w:rsid w:val="005B310B"/>
  </w:style>
  <w:style w:type="paragraph" w:styleId="Zpat">
    <w:name w:val="footer"/>
    <w:basedOn w:val="Normln"/>
    <w:link w:val="ZpatChar"/>
    <w:uiPriority w:val="99"/>
    <w:unhideWhenUsed/>
    <w:rsid w:val="005B310B"/>
    <w:pPr>
      <w:tabs>
        <w:tab w:val="center" w:pos="4536"/>
        <w:tab w:val="right" w:pos="9072"/>
      </w:tabs>
    </w:pPr>
    <w:rPr>
      <w:rFonts w:asciiTheme="minorHAnsi" w:hAnsiTheme="minorHAnsi" w:cstheme="minorBidi"/>
    </w:rPr>
  </w:style>
  <w:style w:type="character" w:customStyle="1" w:styleId="ZpatChar">
    <w:name w:val="Zápatí Char"/>
    <w:basedOn w:val="Standardnpsmoodstavce"/>
    <w:link w:val="Zpat"/>
    <w:uiPriority w:val="99"/>
    <w:rsid w:val="005B310B"/>
  </w:style>
  <w:style w:type="paragraph" w:styleId="Odstavecseseznamem">
    <w:name w:val="List Paragraph"/>
    <w:basedOn w:val="Normln"/>
    <w:uiPriority w:val="34"/>
    <w:qFormat/>
    <w:rsid w:val="00425712"/>
    <w:pPr>
      <w:ind w:left="720"/>
      <w:contextualSpacing/>
    </w:pPr>
    <w:rPr>
      <w:rFonts w:asciiTheme="minorHAnsi" w:hAnsiTheme="minorHAnsi"/>
    </w:rPr>
  </w:style>
  <w:style w:type="character" w:styleId="Hypertextovodkaz">
    <w:name w:val="Hyperlink"/>
    <w:basedOn w:val="Standardnpsmoodstavce"/>
    <w:uiPriority w:val="99"/>
    <w:unhideWhenUsed/>
    <w:rsid w:val="00D13C5E"/>
    <w:rPr>
      <w:color w:val="0563C1" w:themeColor="hyperlink"/>
      <w:u w:val="single"/>
    </w:rPr>
  </w:style>
  <w:style w:type="paragraph" w:styleId="Bezmezer">
    <w:name w:val="No Spacing"/>
    <w:uiPriority w:val="1"/>
    <w:qFormat/>
    <w:rsid w:val="004F587A"/>
    <w:pPr>
      <w:spacing w:after="0" w:line="240" w:lineRule="auto"/>
    </w:pPr>
    <w:rPr>
      <w:rFonts w:ascii="Calibri" w:hAnsi="Calibri" w:cs="Calibri"/>
    </w:rPr>
  </w:style>
  <w:style w:type="table" w:styleId="Mkatabulky">
    <w:name w:val="Table Grid"/>
    <w:basedOn w:val="Normlntabulka"/>
    <w:uiPriority w:val="39"/>
    <w:rsid w:val="00F51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ormln"/>
    <w:link w:val="Styl1Char"/>
    <w:qFormat/>
    <w:rsid w:val="00C975B8"/>
    <w:pPr>
      <w:spacing w:line="360" w:lineRule="auto"/>
    </w:pPr>
    <w:rPr>
      <w:color w:val="000000" w:themeColor="text1"/>
    </w:rPr>
  </w:style>
  <w:style w:type="character" w:customStyle="1" w:styleId="Styl1Char">
    <w:name w:val="Styl1 Char"/>
    <w:basedOn w:val="Standardnpsmoodstavce"/>
    <w:link w:val="Styl1"/>
    <w:rsid w:val="00C975B8"/>
    <w:rPr>
      <w:rFonts w:ascii="Calibri" w:hAnsi="Calibri" w:cs="Calibri"/>
      <w:color w:val="000000" w:themeColor="text1"/>
    </w:rPr>
  </w:style>
  <w:style w:type="paragraph" w:styleId="Normlnweb">
    <w:name w:val="Normal (Web)"/>
    <w:basedOn w:val="Normln"/>
    <w:uiPriority w:val="99"/>
    <w:unhideWhenUsed/>
    <w:rsid w:val="006B68AD"/>
    <w:pPr>
      <w:spacing w:before="100" w:beforeAutospacing="1" w:after="100" w:afterAutospacing="1"/>
    </w:pPr>
  </w:style>
  <w:style w:type="paragraph" w:styleId="Titulek">
    <w:name w:val="caption"/>
    <w:basedOn w:val="Normln"/>
    <w:next w:val="Normln"/>
    <w:unhideWhenUsed/>
    <w:qFormat/>
    <w:rsid w:val="006B68AD"/>
    <w:pPr>
      <w:spacing w:after="200"/>
    </w:pPr>
    <w:rPr>
      <w:i/>
      <w:iCs/>
      <w:color w:val="44546A" w:themeColor="text2"/>
      <w:sz w:val="18"/>
      <w:szCs w:val="18"/>
    </w:rPr>
  </w:style>
  <w:style w:type="character" w:styleId="Nevyeenzmnka">
    <w:name w:val="Unresolved Mention"/>
    <w:basedOn w:val="Standardnpsmoodstavce"/>
    <w:uiPriority w:val="99"/>
    <w:semiHidden/>
    <w:unhideWhenUsed/>
    <w:rsid w:val="00195612"/>
    <w:rPr>
      <w:color w:val="605E5C"/>
      <w:shd w:val="clear" w:color="auto" w:fill="E1DFDD"/>
    </w:rPr>
  </w:style>
  <w:style w:type="character" w:styleId="Sledovanodkaz">
    <w:name w:val="FollowedHyperlink"/>
    <w:basedOn w:val="Standardnpsmoodstavce"/>
    <w:uiPriority w:val="99"/>
    <w:semiHidden/>
    <w:unhideWhenUsed/>
    <w:rsid w:val="00F10330"/>
    <w:rPr>
      <w:color w:val="954F72" w:themeColor="followedHyperlink"/>
      <w:u w:val="single"/>
    </w:rPr>
  </w:style>
  <w:style w:type="paragraph" w:styleId="Revize">
    <w:name w:val="Revision"/>
    <w:hidden/>
    <w:uiPriority w:val="99"/>
    <w:semiHidden/>
    <w:rsid w:val="00270DC9"/>
    <w:pPr>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864713"/>
    <w:rPr>
      <w:sz w:val="16"/>
      <w:szCs w:val="16"/>
    </w:rPr>
  </w:style>
  <w:style w:type="paragraph" w:styleId="Textkomente">
    <w:name w:val="annotation text"/>
    <w:basedOn w:val="Normln"/>
    <w:link w:val="TextkomenteChar"/>
    <w:uiPriority w:val="99"/>
    <w:unhideWhenUsed/>
    <w:rsid w:val="00864713"/>
    <w:rPr>
      <w:sz w:val="20"/>
      <w:szCs w:val="20"/>
    </w:rPr>
  </w:style>
  <w:style w:type="character" w:customStyle="1" w:styleId="TextkomenteChar">
    <w:name w:val="Text komentáře Char"/>
    <w:basedOn w:val="Standardnpsmoodstavce"/>
    <w:link w:val="Textkomente"/>
    <w:uiPriority w:val="99"/>
    <w:rsid w:val="0086471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4713"/>
    <w:rPr>
      <w:b/>
      <w:bCs/>
    </w:rPr>
  </w:style>
  <w:style w:type="character" w:customStyle="1" w:styleId="PedmtkomenteChar">
    <w:name w:val="Předmět komentáře Char"/>
    <w:basedOn w:val="TextkomenteChar"/>
    <w:link w:val="Pedmtkomente"/>
    <w:uiPriority w:val="99"/>
    <w:semiHidden/>
    <w:rsid w:val="00864713"/>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838732">
      <w:bodyDiv w:val="1"/>
      <w:marLeft w:val="0"/>
      <w:marRight w:val="0"/>
      <w:marTop w:val="0"/>
      <w:marBottom w:val="0"/>
      <w:divBdr>
        <w:top w:val="none" w:sz="0" w:space="0" w:color="auto"/>
        <w:left w:val="none" w:sz="0" w:space="0" w:color="auto"/>
        <w:bottom w:val="none" w:sz="0" w:space="0" w:color="auto"/>
        <w:right w:val="none" w:sz="0" w:space="0" w:color="auto"/>
      </w:divBdr>
    </w:div>
    <w:div w:id="1399327635">
      <w:bodyDiv w:val="1"/>
      <w:marLeft w:val="0"/>
      <w:marRight w:val="0"/>
      <w:marTop w:val="0"/>
      <w:marBottom w:val="0"/>
      <w:divBdr>
        <w:top w:val="none" w:sz="0" w:space="0" w:color="auto"/>
        <w:left w:val="none" w:sz="0" w:space="0" w:color="auto"/>
        <w:bottom w:val="none" w:sz="0" w:space="0" w:color="auto"/>
        <w:right w:val="none" w:sz="0" w:space="0" w:color="auto"/>
      </w:divBdr>
    </w:div>
    <w:div w:id="1536238875">
      <w:bodyDiv w:val="1"/>
      <w:marLeft w:val="0"/>
      <w:marRight w:val="0"/>
      <w:marTop w:val="0"/>
      <w:marBottom w:val="0"/>
      <w:divBdr>
        <w:top w:val="none" w:sz="0" w:space="0" w:color="auto"/>
        <w:left w:val="none" w:sz="0" w:space="0" w:color="auto"/>
        <w:bottom w:val="none" w:sz="0" w:space="0" w:color="auto"/>
        <w:right w:val="none" w:sz="0" w:space="0" w:color="auto"/>
      </w:divBdr>
    </w:div>
    <w:div w:id="2000574915">
      <w:bodyDiv w:val="1"/>
      <w:marLeft w:val="0"/>
      <w:marRight w:val="0"/>
      <w:marTop w:val="0"/>
      <w:marBottom w:val="0"/>
      <w:divBdr>
        <w:top w:val="none" w:sz="0" w:space="0" w:color="auto"/>
        <w:left w:val="none" w:sz="0" w:space="0" w:color="auto"/>
        <w:bottom w:val="none" w:sz="0" w:space="0" w:color="auto"/>
        <w:right w:val="none" w:sz="0" w:space="0" w:color="auto"/>
      </w:divBdr>
    </w:div>
    <w:div w:id="209462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64720/SO.2026.07.RZ0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kas.kadula@cdv.gov.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4720/SO.2026.07.RZ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istadoprava.cz/odborne-clanky-konference-rozhovory/cista-doprava-od-planu-k-cinum/" TargetMode="External"/><Relationship Id="rId4" Type="http://schemas.openxmlformats.org/officeDocument/2006/relationships/settings" Target="settings.xml"/><Relationship Id="rId9" Type="http://schemas.openxmlformats.org/officeDocument/2006/relationships/hyperlink" Target="https://www.cistadoprava.cz/odborne-clanky-konference-rozhovory/cista-doprava-od-planu-k-cinu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dula\BESIP\2023\Aktuality\&#268;ist&#225;%20doprava\23-04-28%20V%20&#268;esku%20jezd&#237;%2016%20tis&#237;c%20osobn&#237;ch%20elektromobil&#367;,%20v%20pr&#367;m&#283;ru%20jsou%203%20roky%20star&#233;\CDV_sablona_hlavickovy_papir_vicestrankovy.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1CFB3-3BEB-4A3D-8B2D-8C83EFBC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CDV_sablona_hlavickovy_papir_vicestrankovy.dotx</Template>
  <TotalTime>5447</TotalTime>
  <Pages>3</Pages>
  <Words>1218</Words>
  <Characters>7191</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8393</CharactersWithSpaces>
  <SharedDoc>false</SharedDoc>
  <HLinks>
    <vt:vector size="54" baseType="variant">
      <vt:variant>
        <vt:i4>327795</vt:i4>
      </vt:variant>
      <vt:variant>
        <vt:i4>27</vt:i4>
      </vt:variant>
      <vt:variant>
        <vt:i4>0</vt:i4>
      </vt:variant>
      <vt:variant>
        <vt:i4>5</vt:i4>
      </vt:variant>
      <vt:variant>
        <vt:lpwstr>mailto:lukas.kadula@cdv.cz</vt:lpwstr>
      </vt:variant>
      <vt:variant>
        <vt:lpwstr/>
      </vt:variant>
      <vt:variant>
        <vt:i4>6619194</vt:i4>
      </vt:variant>
      <vt:variant>
        <vt:i4>24</vt:i4>
      </vt:variant>
      <vt:variant>
        <vt:i4>0</vt:i4>
      </vt:variant>
      <vt:variant>
        <vt:i4>5</vt:i4>
      </vt:variant>
      <vt:variant>
        <vt:lpwstr>http://www.cistadoprava.cz/</vt:lpwstr>
      </vt:variant>
      <vt:variant>
        <vt:lpwstr/>
      </vt:variant>
      <vt:variant>
        <vt:i4>6619194</vt:i4>
      </vt:variant>
      <vt:variant>
        <vt:i4>21</vt:i4>
      </vt:variant>
      <vt:variant>
        <vt:i4>0</vt:i4>
      </vt:variant>
      <vt:variant>
        <vt:i4>5</vt:i4>
      </vt:variant>
      <vt:variant>
        <vt:lpwstr>http://www.cistadoprava.cz/</vt:lpwstr>
      </vt:variant>
      <vt:variant>
        <vt:lpwstr/>
      </vt:variant>
      <vt:variant>
        <vt:i4>3604514</vt:i4>
      </vt:variant>
      <vt:variant>
        <vt:i4>15</vt:i4>
      </vt:variant>
      <vt:variant>
        <vt:i4>0</vt:i4>
      </vt:variant>
      <vt:variant>
        <vt:i4>5</vt:i4>
      </vt:variant>
      <vt:variant>
        <vt:lpwstr>https://www.cistadoprava.cz/verejne-dobijeci-body-v-eu/</vt:lpwstr>
      </vt:variant>
      <vt:variant>
        <vt:lpwstr/>
      </vt:variant>
      <vt:variant>
        <vt:i4>6619184</vt:i4>
      </vt:variant>
      <vt:variant>
        <vt:i4>12</vt:i4>
      </vt:variant>
      <vt:variant>
        <vt:i4>0</vt:i4>
      </vt:variant>
      <vt:variant>
        <vt:i4>5</vt:i4>
      </vt:variant>
      <vt:variant>
        <vt:lpwstr>https://www.nrb.cz/produkt/elektromobilita/</vt:lpwstr>
      </vt:variant>
      <vt:variant>
        <vt:lpwstr/>
      </vt:variant>
      <vt:variant>
        <vt:i4>589851</vt:i4>
      </vt:variant>
      <vt:variant>
        <vt:i4>9</vt:i4>
      </vt:variant>
      <vt:variant>
        <vt:i4>0</vt:i4>
      </vt:variant>
      <vt:variant>
        <vt:i4>5</vt:i4>
      </vt:variant>
      <vt:variant>
        <vt:lpwstr>https://www.cistadoprava.cz/registrace-novych-osobnich-vozidel-v-cr/</vt:lpwstr>
      </vt:variant>
      <vt:variant>
        <vt:lpwstr/>
      </vt:variant>
      <vt:variant>
        <vt:i4>3604514</vt:i4>
      </vt:variant>
      <vt:variant>
        <vt:i4>6</vt:i4>
      </vt:variant>
      <vt:variant>
        <vt:i4>0</vt:i4>
      </vt:variant>
      <vt:variant>
        <vt:i4>5</vt:i4>
      </vt:variant>
      <vt:variant>
        <vt:lpwstr>https://www.cistadoprava.cz/verejne-dobijeci-body-v-eu/</vt:lpwstr>
      </vt:variant>
      <vt:variant>
        <vt:lpwstr/>
      </vt:variant>
      <vt:variant>
        <vt:i4>983068</vt:i4>
      </vt:variant>
      <vt:variant>
        <vt:i4>3</vt:i4>
      </vt:variant>
      <vt:variant>
        <vt:i4>0</vt:i4>
      </vt:variant>
      <vt:variant>
        <vt:i4>5</vt:i4>
      </vt:variant>
      <vt:variant>
        <vt:lpwstr>https://www.cistadoprava.cz/registrace-novych-osobnich-vozidel-v-eu/</vt:lpwstr>
      </vt:variant>
      <vt:variant>
        <vt:lpwstr/>
      </vt:variant>
      <vt:variant>
        <vt:i4>851982</vt:i4>
      </vt:variant>
      <vt:variant>
        <vt:i4>0</vt:i4>
      </vt:variant>
      <vt:variant>
        <vt:i4>0</vt:i4>
      </vt:variant>
      <vt:variant>
        <vt:i4>5</vt:i4>
      </vt:variant>
      <vt:variant>
        <vt:lpwstr>https://www.cistadoprava.cz/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Kadula</dc:creator>
  <cp:keywords/>
  <dc:description/>
  <cp:lastModifiedBy>Lukáš Kadula</cp:lastModifiedBy>
  <cp:revision>401</cp:revision>
  <cp:lastPrinted>2025-04-28T04:43:00Z</cp:lastPrinted>
  <dcterms:created xsi:type="dcterms:W3CDTF">2024-01-17T01:12:00Z</dcterms:created>
  <dcterms:modified xsi:type="dcterms:W3CDTF">2026-09-24T11:46:00Z</dcterms:modified>
</cp:coreProperties>
</file>